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9FB8AE" w14:textId="6B07DD3E" w:rsidR="00443FFF" w:rsidRDefault="00443FFF" w:rsidP="00443FFF">
      <w:pPr>
        <w:pStyle w:val="Header"/>
        <w:tabs>
          <w:tab w:val="clear" w:pos="4153"/>
          <w:tab w:val="clear" w:pos="8306"/>
          <w:tab w:val="right" w:pos="9026"/>
        </w:tabs>
        <w:rPr>
          <w:b/>
          <w:sz w:val="24"/>
        </w:rPr>
      </w:pPr>
      <w:bookmarkStart w:id="0" w:name="_Hlk512609091"/>
      <w:bookmarkStart w:id="1" w:name="_GoBack"/>
      <w:bookmarkEnd w:id="1"/>
      <w:r>
        <w:rPr>
          <w:b/>
          <w:sz w:val="24"/>
        </w:rPr>
        <w:t>3GPP TSG-RAN WG1 Meeting #96bis</w:t>
      </w:r>
      <w:r>
        <w:rPr>
          <w:b/>
          <w:sz w:val="24"/>
        </w:rPr>
        <w:tab/>
      </w:r>
      <w:r w:rsidRPr="00EB013E">
        <w:rPr>
          <w:b/>
          <w:sz w:val="24"/>
        </w:rPr>
        <w:t>R1-190</w:t>
      </w:r>
      <w:r w:rsidR="00EB013E" w:rsidRPr="00EB013E">
        <w:rPr>
          <w:b/>
          <w:sz w:val="24"/>
        </w:rPr>
        <w:t>4925</w:t>
      </w:r>
    </w:p>
    <w:p w14:paraId="3D7CCA72" w14:textId="5D4C6988" w:rsidR="00443FFF" w:rsidRPr="00BC0557" w:rsidRDefault="00443FFF" w:rsidP="00443FFF">
      <w:pPr>
        <w:pStyle w:val="Header"/>
        <w:rPr>
          <w:b/>
          <w:sz w:val="24"/>
        </w:rPr>
      </w:pPr>
      <w:r>
        <w:rPr>
          <w:b/>
          <w:sz w:val="24"/>
        </w:rPr>
        <w:t xml:space="preserve">Xi’an, China 08 – 12 </w:t>
      </w:r>
      <w:r w:rsidR="00FD1C3C">
        <w:rPr>
          <w:b/>
          <w:sz w:val="24"/>
        </w:rPr>
        <w:t>April</w:t>
      </w:r>
      <w:r>
        <w:rPr>
          <w:b/>
          <w:sz w:val="24"/>
        </w:rPr>
        <w:t xml:space="preserve"> 2019</w:t>
      </w:r>
    </w:p>
    <w:bookmarkEnd w:id="0"/>
    <w:p w14:paraId="776F4C14" w14:textId="77777777" w:rsidR="00443FFF" w:rsidRDefault="00443FFF" w:rsidP="00443FFF"/>
    <w:p w14:paraId="03C6A536" w14:textId="16D74DB2" w:rsidR="00443FFF" w:rsidRPr="00942652" w:rsidRDefault="00443FFF" w:rsidP="00443FFF">
      <w:pPr>
        <w:tabs>
          <w:tab w:val="left" w:pos="1701"/>
        </w:tabs>
        <w:spacing w:after="60"/>
        <w:rPr>
          <w:bCs/>
          <w:color w:val="000000" w:themeColor="text1"/>
        </w:rPr>
      </w:pPr>
      <w:r w:rsidRPr="00BC0557">
        <w:rPr>
          <w:b/>
          <w:sz w:val="22"/>
        </w:rPr>
        <w:t>Agenda item:</w:t>
      </w:r>
      <w:r w:rsidRPr="00EF0FD5">
        <w:tab/>
      </w:r>
      <w:r w:rsidRPr="00D4735E">
        <w:t>7.2.4.</w:t>
      </w:r>
      <w:r>
        <w:t>7</w:t>
      </w:r>
    </w:p>
    <w:p w14:paraId="06A83340" w14:textId="427F3D14" w:rsidR="00BC0557" w:rsidRPr="00D1518D" w:rsidRDefault="00BC0557" w:rsidP="00BC0557">
      <w:pPr>
        <w:tabs>
          <w:tab w:val="left" w:pos="1701"/>
        </w:tabs>
        <w:spacing w:after="60"/>
        <w:rPr>
          <w:bCs/>
          <w:color w:val="000000" w:themeColor="text1"/>
        </w:rPr>
      </w:pPr>
      <w:r w:rsidRPr="00D1518D">
        <w:rPr>
          <w:b/>
          <w:color w:val="000000" w:themeColor="text1"/>
          <w:sz w:val="22"/>
        </w:rPr>
        <w:t>Title:</w:t>
      </w:r>
      <w:r w:rsidRPr="00D1518D">
        <w:rPr>
          <w:b/>
          <w:color w:val="000000" w:themeColor="text1"/>
        </w:rPr>
        <w:tab/>
      </w:r>
      <w:r w:rsidR="00443FFF">
        <w:rPr>
          <w:color w:val="000000" w:themeColor="text1"/>
        </w:rPr>
        <w:t>On s</w:t>
      </w:r>
      <w:r w:rsidR="00443FFF" w:rsidRPr="00443FFF">
        <w:rPr>
          <w:color w:val="000000" w:themeColor="text1"/>
        </w:rPr>
        <w:t>upport of NR Uu controlling LTE sidelink</w:t>
      </w:r>
    </w:p>
    <w:p w14:paraId="7DC2E3DB" w14:textId="77777777"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BC0557" w:rsidRDefault="00BC0557" w:rsidP="00BC0557">
      <w:pPr>
        <w:spacing w:after="120"/>
        <w:rPr>
          <w:b/>
          <w:sz w:val="22"/>
        </w:rPr>
      </w:pPr>
      <w:r w:rsidRPr="00BC0557">
        <w:rPr>
          <w:b/>
          <w:sz w:val="22"/>
        </w:rPr>
        <w:t>1. Introduction</w:t>
      </w:r>
    </w:p>
    <w:p w14:paraId="121BDAD9" w14:textId="528FC8D6" w:rsidR="002F480D" w:rsidRPr="00227A56" w:rsidRDefault="00867E6A" w:rsidP="002F480D">
      <w:pPr>
        <w:pStyle w:val="BodyText"/>
        <w:rPr>
          <w:color w:val="auto"/>
          <w:sz w:val="20"/>
          <w:szCs w:val="20"/>
        </w:rPr>
      </w:pPr>
      <w:r w:rsidRPr="00227A56">
        <w:rPr>
          <w:color w:val="auto"/>
          <w:sz w:val="20"/>
          <w:szCs w:val="20"/>
        </w:rPr>
        <w:t xml:space="preserve">In the recently approved 5G V2X work item [1], </w:t>
      </w:r>
      <w:r w:rsidR="00227A56" w:rsidRPr="00227A56">
        <w:rPr>
          <w:color w:val="auto"/>
          <w:sz w:val="20"/>
          <w:szCs w:val="20"/>
        </w:rPr>
        <w:t>the scope of supporting NR Uu to provide control of LTE sidelink includes both mode 4 and “mode 3-like” operations as per study item outcome. In addition, RAN1 is tasked to investigate whether DCI-based activation/release of RRC-configured SPS scheduling should be supported instead of RRC-based activation/release.</w:t>
      </w:r>
    </w:p>
    <w:p w14:paraId="51A78236" w14:textId="77777777" w:rsidR="002F480D" w:rsidRPr="00F43AB1" w:rsidRDefault="002F480D" w:rsidP="002F480D">
      <w:pPr>
        <w:pStyle w:val="BodyText"/>
        <w:rPr>
          <w:color w:val="auto"/>
        </w:rPr>
      </w:pPr>
    </w:p>
    <w:tbl>
      <w:tblPr>
        <w:tblStyle w:val="TableGrid"/>
        <w:tblW w:w="0" w:type="auto"/>
        <w:tblLook w:val="04A0" w:firstRow="1" w:lastRow="0" w:firstColumn="1" w:lastColumn="0" w:noHBand="0" w:noVBand="1"/>
      </w:tblPr>
      <w:tblGrid>
        <w:gridCol w:w="9016"/>
      </w:tblGrid>
      <w:tr w:rsidR="002F480D" w14:paraId="66104024" w14:textId="77777777" w:rsidTr="007A225B">
        <w:tc>
          <w:tcPr>
            <w:tcW w:w="9016" w:type="dxa"/>
          </w:tcPr>
          <w:p w14:paraId="3ECFB146" w14:textId="77777777" w:rsidR="00005302" w:rsidRPr="00005302" w:rsidRDefault="00005302" w:rsidP="00005302">
            <w:pPr>
              <w:spacing w:before="60"/>
              <w:rPr>
                <w:rFonts w:ascii="Times New Roman" w:hAnsi="Times New Roman" w:cs="Times New Roman"/>
                <w:lang w:eastAsia="ko-KR"/>
              </w:rPr>
            </w:pPr>
            <w:r w:rsidRPr="00005302">
              <w:rPr>
                <w:rFonts w:ascii="Times New Roman" w:hAnsi="Times New Roman" w:cs="Times New Roman"/>
                <w:lang w:eastAsia="ko-KR"/>
              </w:rPr>
              <w:t xml:space="preserve">2. Specify support for NR Uu to provide control for LTE sidelink </w:t>
            </w:r>
          </w:p>
          <w:p w14:paraId="40D0A3AB" w14:textId="77777777" w:rsidR="00005302" w:rsidRPr="00005302" w:rsidRDefault="00005302" w:rsidP="00005302">
            <w:pPr>
              <w:numPr>
                <w:ilvl w:val="0"/>
                <w:numId w:val="14"/>
              </w:numPr>
              <w:overflowPunct w:val="0"/>
              <w:autoSpaceDE w:val="0"/>
              <w:autoSpaceDN w:val="0"/>
              <w:adjustRightInd w:val="0"/>
              <w:textAlignment w:val="baseline"/>
              <w:rPr>
                <w:rFonts w:ascii="Times New Roman" w:hAnsi="Times New Roman" w:cs="Times New Roman"/>
                <w:lang w:val="en-US" w:eastAsia="ko-KR"/>
              </w:rPr>
            </w:pPr>
            <w:r w:rsidRPr="00005302">
              <w:rPr>
                <w:rFonts w:ascii="Times New Roman" w:hAnsi="Times New Roman" w:cs="Times New Roman"/>
                <w:lang w:val="en-US" w:eastAsia="ko-KR"/>
              </w:rPr>
              <w:t>Sidelink mode 4 as per the study outcome [RAN2, RAN1]; and</w:t>
            </w:r>
          </w:p>
          <w:p w14:paraId="1F23BDC6" w14:textId="04ADD91E" w:rsidR="00005302" w:rsidRPr="00005302" w:rsidRDefault="00005302" w:rsidP="009F1A8D">
            <w:pPr>
              <w:numPr>
                <w:ilvl w:val="0"/>
                <w:numId w:val="14"/>
              </w:numPr>
              <w:overflowPunct w:val="0"/>
              <w:autoSpaceDE w:val="0"/>
              <w:autoSpaceDN w:val="0"/>
              <w:adjustRightInd w:val="0"/>
              <w:jc w:val="left"/>
              <w:textAlignment w:val="baseline"/>
              <w:rPr>
                <w:rFonts w:ascii="Times New Roman" w:hAnsi="Times New Roman" w:cs="Times New Roman"/>
                <w:lang w:val="en-US" w:eastAsia="ko-KR"/>
              </w:rPr>
            </w:pPr>
            <w:r w:rsidRPr="00005302">
              <w:rPr>
                <w:rFonts w:ascii="Times New Roman" w:hAnsi="Times New Roman" w:cs="Times New Roman"/>
                <w:lang w:val="en-US" w:eastAsia="ko-KR"/>
              </w:rPr>
              <w:t>Sidelink mode 3-</w:t>
            </w:r>
            <w:r w:rsidRPr="005D1637">
              <w:rPr>
                <w:rFonts w:ascii="Times New Roman" w:hAnsi="Times New Roman" w:cs="Times New Roman"/>
                <w:lang w:val="en-US" w:eastAsia="ko-KR"/>
              </w:rPr>
              <w:t>like RRC-configured SPS scheduling with</w:t>
            </w:r>
            <w:r w:rsidRPr="00005302">
              <w:rPr>
                <w:rFonts w:ascii="Times New Roman" w:hAnsi="Times New Roman" w:cs="Times New Roman"/>
                <w:lang w:val="en-US" w:eastAsia="ko-KR"/>
              </w:rPr>
              <w:t xml:space="preserve"> either RRC-based activation</w:t>
            </w:r>
            <w:r w:rsidR="009F1A8D">
              <w:rPr>
                <w:rFonts w:ascii="Times New Roman" w:hAnsi="Times New Roman" w:cs="Times New Roman"/>
                <w:lang w:val="en-US" w:eastAsia="ko-KR"/>
              </w:rPr>
              <w:t xml:space="preserve"> </w:t>
            </w:r>
            <w:r w:rsidRPr="00005302">
              <w:rPr>
                <w:rFonts w:ascii="Times New Roman" w:hAnsi="Times New Roman" w:cs="Times New Roman"/>
                <w:lang w:val="en-US" w:eastAsia="ko-KR"/>
              </w:rPr>
              <w:t>/</w:t>
            </w:r>
            <w:r w:rsidR="009F1A8D">
              <w:rPr>
                <w:rFonts w:ascii="Times New Roman" w:hAnsi="Times New Roman" w:cs="Times New Roman"/>
                <w:lang w:val="en-US" w:eastAsia="ko-KR"/>
              </w:rPr>
              <w:t xml:space="preserve"> </w:t>
            </w:r>
            <w:r w:rsidRPr="00005302">
              <w:rPr>
                <w:rFonts w:ascii="Times New Roman" w:hAnsi="Times New Roman" w:cs="Times New Roman"/>
                <w:lang w:val="en-US" w:eastAsia="ko-KR"/>
              </w:rPr>
              <w:t>deactivation as per the study outcome or DCI-based activation/deactivation [RAN1, RAN2].</w:t>
            </w:r>
          </w:p>
          <w:p w14:paraId="535E5C85" w14:textId="122D7417" w:rsidR="002F480D" w:rsidRPr="00005302" w:rsidRDefault="00005302" w:rsidP="00005302">
            <w:pPr>
              <w:pStyle w:val="ListParagraph"/>
              <w:numPr>
                <w:ilvl w:val="1"/>
                <w:numId w:val="14"/>
              </w:numPr>
              <w:wordWrap w:val="0"/>
              <w:overflowPunct w:val="0"/>
              <w:autoSpaceDE w:val="0"/>
              <w:autoSpaceDN w:val="0"/>
              <w:adjustRightInd w:val="0"/>
              <w:spacing w:after="60"/>
              <w:ind w:leftChars="0"/>
              <w:contextualSpacing/>
              <w:jc w:val="both"/>
              <w:textAlignment w:val="baseline"/>
              <w:rPr>
                <w:rFonts w:ascii="Arial" w:hAnsi="Arial" w:cs="Arial"/>
                <w:sz w:val="21"/>
                <w:szCs w:val="21"/>
                <w:lang w:val="en-US" w:eastAsia="ko-KR"/>
              </w:rPr>
            </w:pPr>
            <w:r w:rsidRPr="00005302">
              <w:rPr>
                <w:rFonts w:ascii="Times New Roman" w:hAnsi="Times New Roman"/>
                <w:sz w:val="21"/>
                <w:szCs w:val="21"/>
                <w:lang w:val="en-US" w:eastAsia="ko-KR"/>
              </w:rPr>
              <w:t>RAN1 to make a decision on which option is supported until RAN#84.</w:t>
            </w:r>
          </w:p>
        </w:tc>
      </w:tr>
    </w:tbl>
    <w:p w14:paraId="18799F84" w14:textId="3260D147" w:rsidR="002F480D" w:rsidRDefault="002F480D" w:rsidP="002F480D">
      <w:pPr>
        <w:pStyle w:val="BodyText"/>
        <w:rPr>
          <w:color w:val="auto"/>
        </w:rPr>
      </w:pPr>
    </w:p>
    <w:p w14:paraId="2EAA696D" w14:textId="4F102696" w:rsidR="00005302" w:rsidRPr="005D1637" w:rsidRDefault="00227A56" w:rsidP="00005302">
      <w:pPr>
        <w:pStyle w:val="BodyText"/>
        <w:rPr>
          <w:color w:val="auto"/>
          <w:sz w:val="20"/>
        </w:rPr>
      </w:pPr>
      <w:r w:rsidRPr="005D1637">
        <w:rPr>
          <w:color w:val="auto"/>
          <w:sz w:val="20"/>
        </w:rPr>
        <w:t>During RAN1#96</w:t>
      </w:r>
      <w:r w:rsidR="00316B82" w:rsidRPr="005D1637">
        <w:rPr>
          <w:color w:val="auto"/>
          <w:sz w:val="20"/>
        </w:rPr>
        <w:t xml:space="preserve"> meeting</w:t>
      </w:r>
      <w:r w:rsidRPr="005D1637">
        <w:rPr>
          <w:color w:val="auto"/>
          <w:sz w:val="20"/>
        </w:rPr>
        <w:t xml:space="preserve">, </w:t>
      </w:r>
      <w:r w:rsidR="00316B82" w:rsidRPr="005D1637">
        <w:rPr>
          <w:color w:val="auto"/>
          <w:sz w:val="20"/>
        </w:rPr>
        <w:t xml:space="preserve">the new </w:t>
      </w:r>
      <w:r w:rsidRPr="005D1637">
        <w:rPr>
          <w:color w:val="auto"/>
          <w:sz w:val="20"/>
        </w:rPr>
        <w:t xml:space="preserve">mode 3-like LTE </w:t>
      </w:r>
      <w:r w:rsidR="00316B82" w:rsidRPr="005D1637">
        <w:rPr>
          <w:color w:val="auto"/>
          <w:sz w:val="20"/>
        </w:rPr>
        <w:t xml:space="preserve">sidelink </w:t>
      </w:r>
      <w:r w:rsidRPr="005D1637">
        <w:rPr>
          <w:color w:val="auto"/>
          <w:sz w:val="20"/>
        </w:rPr>
        <w:t>operation</w:t>
      </w:r>
      <w:r w:rsidR="00316B82" w:rsidRPr="005D1637">
        <w:rPr>
          <w:color w:val="auto"/>
          <w:sz w:val="20"/>
        </w:rPr>
        <w:t xml:space="preserve"> was agreed as followed. It is understood this new operating mode was agreed in lieu of the existing mode 3 DCI-based activation/release mainly due to concern of signalling exchange </w:t>
      </w:r>
      <w:r w:rsidR="005D1637" w:rsidRPr="005D1637">
        <w:rPr>
          <w:color w:val="auto"/>
          <w:sz w:val="20"/>
        </w:rPr>
        <w:t>from the</w:t>
      </w:r>
      <w:r w:rsidR="00316B82" w:rsidRPr="005D1637">
        <w:rPr>
          <w:color w:val="auto"/>
          <w:sz w:val="20"/>
        </w:rPr>
        <w:t xml:space="preserve"> UE-inter</w:t>
      </w:r>
      <w:r w:rsidR="000A7BDE">
        <w:rPr>
          <w:color w:val="auto"/>
          <w:sz w:val="20"/>
        </w:rPr>
        <w:t>n</w:t>
      </w:r>
      <w:r w:rsidR="00316B82" w:rsidRPr="005D1637">
        <w:rPr>
          <w:color w:val="auto"/>
          <w:sz w:val="20"/>
        </w:rPr>
        <w:t>al NR</w:t>
      </w:r>
      <w:r w:rsidR="005D1637" w:rsidRPr="005D1637">
        <w:rPr>
          <w:color w:val="auto"/>
          <w:sz w:val="20"/>
        </w:rPr>
        <w:t xml:space="preserve"> module to the</w:t>
      </w:r>
      <w:r w:rsidR="00316B82" w:rsidRPr="005D1637">
        <w:rPr>
          <w:color w:val="auto"/>
          <w:sz w:val="20"/>
        </w:rPr>
        <w:t xml:space="preserve"> LTE module</w:t>
      </w:r>
      <w:r w:rsidR="005D1637" w:rsidRPr="005D1637">
        <w:rPr>
          <w:color w:val="auto"/>
          <w:sz w:val="20"/>
        </w:rPr>
        <w:t xml:space="preserve"> over the proprietary interface</w:t>
      </w:r>
      <w:r w:rsidR="00316B82" w:rsidRPr="005D1637">
        <w:rPr>
          <w:color w:val="auto"/>
          <w:sz w:val="20"/>
        </w:rPr>
        <w:t xml:space="preserve"> may not be fast enough (within 4ms as per current LTE mode 3 behaviour)</w:t>
      </w:r>
      <w:r w:rsidR="005D1637" w:rsidRPr="005D1637">
        <w:rPr>
          <w:color w:val="auto"/>
          <w:sz w:val="20"/>
        </w:rPr>
        <w:t>. At the same time, there was some preference to align cross-RAT control in the same manner in both directions (i.e. using RRC-signalling configuration of SPS/configured grant resources without needing DCI activation/release).</w:t>
      </w:r>
    </w:p>
    <w:p w14:paraId="3C00C2B4" w14:textId="77777777" w:rsidR="00005302" w:rsidRPr="00F43AB1" w:rsidRDefault="00005302" w:rsidP="00005302">
      <w:pPr>
        <w:pStyle w:val="BodyText"/>
        <w:rPr>
          <w:color w:val="auto"/>
        </w:rPr>
      </w:pPr>
    </w:p>
    <w:tbl>
      <w:tblPr>
        <w:tblStyle w:val="TableGrid"/>
        <w:tblW w:w="0" w:type="auto"/>
        <w:tblLook w:val="04A0" w:firstRow="1" w:lastRow="0" w:firstColumn="1" w:lastColumn="0" w:noHBand="0" w:noVBand="1"/>
      </w:tblPr>
      <w:tblGrid>
        <w:gridCol w:w="9016"/>
      </w:tblGrid>
      <w:tr w:rsidR="00005302" w14:paraId="1FD0F768" w14:textId="77777777" w:rsidTr="00404D39">
        <w:tc>
          <w:tcPr>
            <w:tcW w:w="9016" w:type="dxa"/>
          </w:tcPr>
          <w:p w14:paraId="0E7EDDD9" w14:textId="77777777" w:rsidR="00005302" w:rsidRPr="00852251" w:rsidRDefault="00005302" w:rsidP="00005302">
            <w:pPr>
              <w:spacing w:before="60"/>
              <w:rPr>
                <w:rFonts w:ascii="Times New Roman" w:hAnsi="Times New Roman" w:cs="Times New Roman"/>
                <w:lang w:eastAsia="x-none"/>
              </w:rPr>
            </w:pPr>
            <w:r w:rsidRPr="00852251">
              <w:rPr>
                <w:rFonts w:ascii="Times New Roman" w:hAnsi="Times New Roman" w:cs="Times New Roman"/>
                <w:b/>
                <w:highlight w:val="green"/>
                <w:lang w:eastAsia="x-none"/>
              </w:rPr>
              <w:t>Agreements</w:t>
            </w:r>
            <w:r w:rsidRPr="00852251">
              <w:rPr>
                <w:rFonts w:ascii="Times New Roman" w:hAnsi="Times New Roman" w:cs="Times New Roman"/>
                <w:lang w:eastAsia="x-none"/>
              </w:rPr>
              <w:t>:</w:t>
            </w:r>
          </w:p>
          <w:p w14:paraId="0770B6F3" w14:textId="77777777" w:rsidR="009F1A8D" w:rsidRPr="009F1A8D" w:rsidRDefault="009F1A8D" w:rsidP="009F1A8D">
            <w:pPr>
              <w:pStyle w:val="ListParagraph"/>
              <w:numPr>
                <w:ilvl w:val="0"/>
                <w:numId w:val="14"/>
              </w:numPr>
              <w:spacing w:after="160" w:line="259" w:lineRule="auto"/>
              <w:ind w:leftChars="0"/>
              <w:contextualSpacing/>
              <w:rPr>
                <w:rFonts w:ascii="Times New Roman" w:hAnsi="Times New Roman"/>
                <w:sz w:val="21"/>
                <w:szCs w:val="21"/>
              </w:rPr>
            </w:pPr>
            <w:r w:rsidRPr="009F1A8D">
              <w:rPr>
                <w:rFonts w:ascii="Times New Roman" w:hAnsi="Times New Roman"/>
                <w:sz w:val="21"/>
                <w:szCs w:val="21"/>
              </w:rPr>
              <w:t>Scheduling by gNB using RRC for LTE sidelink scheduled mode is supported from RAN1 perspective under the premise that there is sufficient time for coordination between the NR and LTE modules. No DCI to activate/release</w:t>
            </w:r>
          </w:p>
          <w:p w14:paraId="0A273F0E" w14:textId="77777777" w:rsidR="009F1A8D" w:rsidRPr="009F1A8D" w:rsidRDefault="009F1A8D" w:rsidP="009F1A8D">
            <w:pPr>
              <w:pStyle w:val="ListParagraph"/>
              <w:numPr>
                <w:ilvl w:val="1"/>
                <w:numId w:val="14"/>
              </w:numPr>
              <w:spacing w:after="160" w:line="259" w:lineRule="auto"/>
              <w:ind w:leftChars="0"/>
              <w:contextualSpacing/>
              <w:rPr>
                <w:rFonts w:ascii="Times New Roman" w:hAnsi="Times New Roman"/>
                <w:sz w:val="21"/>
                <w:szCs w:val="21"/>
              </w:rPr>
            </w:pPr>
            <w:r w:rsidRPr="009F1A8D">
              <w:rPr>
                <w:rFonts w:ascii="Times New Roman" w:hAnsi="Times New Roman"/>
                <w:sz w:val="21"/>
                <w:szCs w:val="21"/>
              </w:rPr>
              <w:t xml:space="preserve">RRC message delivers the SPS grant configuration and releases the SPS configuration. </w:t>
            </w:r>
          </w:p>
          <w:p w14:paraId="1EAAA719" w14:textId="77777777" w:rsidR="009F1A8D" w:rsidRPr="009F1A8D" w:rsidRDefault="009F1A8D" w:rsidP="009F1A8D">
            <w:pPr>
              <w:pStyle w:val="ListParagraph"/>
              <w:numPr>
                <w:ilvl w:val="1"/>
                <w:numId w:val="14"/>
              </w:numPr>
              <w:spacing w:after="160" w:line="259" w:lineRule="auto"/>
              <w:ind w:leftChars="0"/>
              <w:contextualSpacing/>
              <w:rPr>
                <w:rFonts w:ascii="Times New Roman" w:hAnsi="Times New Roman"/>
                <w:sz w:val="21"/>
                <w:szCs w:val="21"/>
              </w:rPr>
            </w:pPr>
            <w:r w:rsidRPr="009F1A8D">
              <w:rPr>
                <w:rFonts w:ascii="Times New Roman" w:hAnsi="Times New Roman"/>
                <w:sz w:val="21"/>
                <w:szCs w:val="21"/>
              </w:rPr>
              <w:t>Support of this scheduling mode is subject to UE capability (may or may not have capability for both LTE &amp; NR)</w:t>
            </w:r>
          </w:p>
          <w:p w14:paraId="13D9279A" w14:textId="77777777" w:rsidR="009F1A8D" w:rsidRPr="009F1A8D" w:rsidRDefault="009F1A8D" w:rsidP="009F1A8D">
            <w:pPr>
              <w:pStyle w:val="ListParagraph"/>
              <w:numPr>
                <w:ilvl w:val="1"/>
                <w:numId w:val="14"/>
              </w:numPr>
              <w:spacing w:after="160" w:line="259" w:lineRule="auto"/>
              <w:ind w:leftChars="0"/>
              <w:contextualSpacing/>
              <w:rPr>
                <w:rFonts w:ascii="Times New Roman" w:hAnsi="Times New Roman"/>
                <w:sz w:val="21"/>
                <w:szCs w:val="21"/>
              </w:rPr>
            </w:pPr>
            <w:r w:rsidRPr="009F1A8D">
              <w:rPr>
                <w:rFonts w:ascii="Times New Roman" w:hAnsi="Times New Roman"/>
                <w:sz w:val="21"/>
                <w:szCs w:val="21"/>
              </w:rPr>
              <w:t>Note: some specification LTE change is needed to support the reception of a grant through RRC</w:t>
            </w:r>
          </w:p>
          <w:p w14:paraId="0CD0F74B" w14:textId="77777777" w:rsidR="009F1A8D" w:rsidRPr="009F1A8D" w:rsidRDefault="009F1A8D" w:rsidP="009F1A8D">
            <w:pPr>
              <w:pStyle w:val="ListParagraph"/>
              <w:numPr>
                <w:ilvl w:val="2"/>
                <w:numId w:val="14"/>
              </w:numPr>
              <w:spacing w:after="160" w:line="259" w:lineRule="auto"/>
              <w:ind w:leftChars="0"/>
              <w:contextualSpacing/>
              <w:rPr>
                <w:rFonts w:ascii="Times New Roman" w:hAnsi="Times New Roman"/>
                <w:sz w:val="21"/>
                <w:szCs w:val="21"/>
              </w:rPr>
            </w:pPr>
            <w:r w:rsidRPr="009F1A8D">
              <w:rPr>
                <w:rFonts w:ascii="Times New Roman" w:hAnsi="Times New Roman"/>
                <w:sz w:val="21"/>
                <w:szCs w:val="21"/>
              </w:rPr>
              <w:t>RRC message contains mode 3 grant content and timing</w:t>
            </w:r>
          </w:p>
          <w:p w14:paraId="47ABC280" w14:textId="77777777" w:rsidR="009F1A8D" w:rsidRPr="009F1A8D" w:rsidRDefault="009F1A8D" w:rsidP="009F1A8D">
            <w:pPr>
              <w:pStyle w:val="ListParagraph"/>
              <w:numPr>
                <w:ilvl w:val="2"/>
                <w:numId w:val="14"/>
              </w:numPr>
              <w:spacing w:after="160" w:line="259" w:lineRule="auto"/>
              <w:ind w:leftChars="0"/>
              <w:contextualSpacing/>
              <w:rPr>
                <w:rFonts w:ascii="Times New Roman" w:hAnsi="Times New Roman"/>
                <w:sz w:val="21"/>
                <w:szCs w:val="21"/>
              </w:rPr>
            </w:pPr>
            <w:r w:rsidRPr="009F1A8D">
              <w:rPr>
                <w:rFonts w:ascii="Times New Roman" w:hAnsi="Times New Roman"/>
                <w:sz w:val="21"/>
                <w:szCs w:val="21"/>
              </w:rPr>
              <w:t>Up to the Editor to capture it as mode 3 or new LTE sidelink mode</w:t>
            </w:r>
          </w:p>
          <w:p w14:paraId="23518291" w14:textId="77777777" w:rsidR="009F1A8D" w:rsidRPr="009F1A8D" w:rsidRDefault="009F1A8D" w:rsidP="009F1A8D">
            <w:pPr>
              <w:pStyle w:val="ListParagraph"/>
              <w:numPr>
                <w:ilvl w:val="1"/>
                <w:numId w:val="14"/>
              </w:numPr>
              <w:spacing w:after="160" w:line="259" w:lineRule="auto"/>
              <w:ind w:leftChars="0"/>
              <w:contextualSpacing/>
              <w:rPr>
                <w:rFonts w:ascii="Times New Roman" w:hAnsi="Times New Roman"/>
                <w:sz w:val="21"/>
                <w:szCs w:val="21"/>
              </w:rPr>
            </w:pPr>
            <w:r w:rsidRPr="009F1A8D">
              <w:rPr>
                <w:rFonts w:ascii="Times New Roman" w:hAnsi="Times New Roman"/>
                <w:sz w:val="21"/>
                <w:szCs w:val="21"/>
              </w:rPr>
              <w:t>No intention to have additional NR &amp; LTE specification change (other than those described above) for this function in Rel-16</w:t>
            </w:r>
          </w:p>
          <w:p w14:paraId="34118967" w14:textId="7E5D2691" w:rsidR="00005302" w:rsidRPr="009F1A8D" w:rsidRDefault="009F1A8D" w:rsidP="009F1A8D">
            <w:pPr>
              <w:pStyle w:val="ListParagraph"/>
              <w:numPr>
                <w:ilvl w:val="0"/>
                <w:numId w:val="14"/>
              </w:numPr>
              <w:spacing w:after="160" w:line="259" w:lineRule="auto"/>
              <w:ind w:leftChars="0"/>
              <w:contextualSpacing/>
              <w:rPr>
                <w:szCs w:val="20"/>
              </w:rPr>
            </w:pPr>
            <w:r w:rsidRPr="009F1A8D">
              <w:rPr>
                <w:rFonts w:ascii="Times New Roman" w:hAnsi="Times New Roman"/>
                <w:sz w:val="21"/>
                <w:szCs w:val="21"/>
              </w:rPr>
              <w:t>RAN1 studied the feasibility of SPS scheduling by gNB for LTE sidelink with DCI activation/release, but there is no consensus to support it</w:t>
            </w:r>
          </w:p>
        </w:tc>
      </w:tr>
    </w:tbl>
    <w:p w14:paraId="2EB01318" w14:textId="77777777" w:rsidR="00005302" w:rsidRDefault="00005302" w:rsidP="00005302">
      <w:pPr>
        <w:pStyle w:val="BodyText"/>
        <w:rPr>
          <w:color w:val="auto"/>
        </w:rPr>
      </w:pPr>
    </w:p>
    <w:p w14:paraId="47494C83" w14:textId="51EBEB61" w:rsidR="00005302" w:rsidRPr="00563CA3" w:rsidRDefault="00005302" w:rsidP="002F480D">
      <w:pPr>
        <w:pStyle w:val="BodyText"/>
        <w:rPr>
          <w:color w:val="auto"/>
          <w:sz w:val="20"/>
        </w:rPr>
      </w:pPr>
      <w:r w:rsidRPr="00563CA3">
        <w:rPr>
          <w:color w:val="auto"/>
          <w:sz w:val="20"/>
        </w:rPr>
        <w:t xml:space="preserve">In this contribution, </w:t>
      </w:r>
      <w:r w:rsidR="005D1637" w:rsidRPr="00563CA3">
        <w:rPr>
          <w:color w:val="auto"/>
          <w:sz w:val="20"/>
        </w:rPr>
        <w:t xml:space="preserve">we provide discussions and views on mechanisms to support NR Uu controlling LTE sidelink in both mode 4 and mode-3 like </w:t>
      </w:r>
      <w:r w:rsidR="00563CA3" w:rsidRPr="00563CA3">
        <w:rPr>
          <w:color w:val="auto"/>
          <w:sz w:val="20"/>
        </w:rPr>
        <w:t>operations as per instruction in the WID [1].</w:t>
      </w:r>
    </w:p>
    <w:p w14:paraId="107E9807" w14:textId="77777777" w:rsidR="00005302" w:rsidRPr="00F43AB1" w:rsidRDefault="00005302" w:rsidP="002F480D">
      <w:pPr>
        <w:pStyle w:val="BodyText"/>
        <w:rPr>
          <w:color w:val="auto"/>
        </w:rPr>
      </w:pPr>
    </w:p>
    <w:p w14:paraId="2DDFB004" w14:textId="77777777" w:rsidR="00BC0557" w:rsidRPr="00BC0557" w:rsidRDefault="00BC0557" w:rsidP="00BC0557">
      <w:pPr>
        <w:spacing w:after="120"/>
        <w:rPr>
          <w:b/>
          <w:sz w:val="22"/>
        </w:rPr>
      </w:pPr>
      <w:r w:rsidRPr="00BC0557">
        <w:rPr>
          <w:b/>
          <w:sz w:val="22"/>
        </w:rPr>
        <w:t>2. Discussion</w:t>
      </w:r>
    </w:p>
    <w:p w14:paraId="0FD5B815" w14:textId="7DCF365F" w:rsidR="003C70F9" w:rsidRPr="00160871" w:rsidRDefault="003C70F9" w:rsidP="004A03BC">
      <w:pPr>
        <w:pStyle w:val="BodyText"/>
        <w:rPr>
          <w:color w:val="auto"/>
          <w:sz w:val="20"/>
          <w:szCs w:val="20"/>
        </w:rPr>
      </w:pPr>
      <w:r w:rsidRPr="00563CA3">
        <w:rPr>
          <w:color w:val="auto"/>
          <w:sz w:val="20"/>
          <w:szCs w:val="20"/>
        </w:rPr>
        <w:t xml:space="preserve">In the existing LTE sidelink when under </w:t>
      </w:r>
      <w:r w:rsidR="00867E6A" w:rsidRPr="00563CA3">
        <w:rPr>
          <w:color w:val="auto"/>
          <w:sz w:val="20"/>
          <w:szCs w:val="20"/>
        </w:rPr>
        <w:t xml:space="preserve">LTE </w:t>
      </w:r>
      <w:r w:rsidRPr="00563CA3">
        <w:rPr>
          <w:color w:val="auto"/>
          <w:sz w:val="20"/>
          <w:szCs w:val="20"/>
        </w:rPr>
        <w:t xml:space="preserve">network control, resource pools for mode 3 operation are </w:t>
      </w:r>
      <w:r w:rsidR="00867E6A" w:rsidRPr="00563CA3">
        <w:rPr>
          <w:color w:val="auto"/>
          <w:sz w:val="20"/>
          <w:szCs w:val="20"/>
        </w:rPr>
        <w:t xml:space="preserve">configured using dedicated RRC signalling and resource pools for mode 4 can be configured using </w:t>
      </w:r>
      <w:r w:rsidR="00E15ABB">
        <w:rPr>
          <w:color w:val="auto"/>
          <w:sz w:val="20"/>
          <w:szCs w:val="20"/>
        </w:rPr>
        <w:t xml:space="preserve">either or </w:t>
      </w:r>
      <w:r w:rsidR="00867E6A" w:rsidRPr="00563CA3">
        <w:rPr>
          <w:color w:val="auto"/>
          <w:sz w:val="20"/>
          <w:szCs w:val="20"/>
        </w:rPr>
        <w:t xml:space="preserve">both common and dedicated RRC signalling. To continue </w:t>
      </w:r>
      <w:r w:rsidR="00E15ABB">
        <w:rPr>
          <w:color w:val="auto"/>
          <w:sz w:val="20"/>
          <w:szCs w:val="20"/>
        </w:rPr>
        <w:t xml:space="preserve">the </w:t>
      </w:r>
      <w:r w:rsidR="00867E6A" w:rsidRPr="00563CA3">
        <w:rPr>
          <w:color w:val="auto"/>
          <w:sz w:val="20"/>
          <w:szCs w:val="20"/>
        </w:rPr>
        <w:t>support</w:t>
      </w:r>
      <w:r w:rsidR="00E15ABB">
        <w:rPr>
          <w:color w:val="auto"/>
          <w:sz w:val="20"/>
          <w:szCs w:val="20"/>
        </w:rPr>
        <w:t xml:space="preserve"> of</w:t>
      </w:r>
      <w:r w:rsidR="00867E6A" w:rsidRPr="00563CA3">
        <w:rPr>
          <w:color w:val="auto"/>
          <w:sz w:val="20"/>
          <w:szCs w:val="20"/>
        </w:rPr>
        <w:t xml:space="preserve"> LTE sidelink mode 4 </w:t>
      </w:r>
      <w:r w:rsidR="00867E6A" w:rsidRPr="00160871">
        <w:rPr>
          <w:color w:val="auto"/>
          <w:sz w:val="20"/>
          <w:szCs w:val="20"/>
        </w:rPr>
        <w:t xml:space="preserve">operation following the same manner </w:t>
      </w:r>
      <w:r w:rsidR="00F74466">
        <w:rPr>
          <w:color w:val="auto"/>
          <w:sz w:val="20"/>
          <w:szCs w:val="20"/>
        </w:rPr>
        <w:t xml:space="preserve">when </w:t>
      </w:r>
      <w:r w:rsidR="00867E6A" w:rsidRPr="00160871">
        <w:rPr>
          <w:color w:val="auto"/>
          <w:sz w:val="20"/>
          <w:szCs w:val="20"/>
        </w:rPr>
        <w:t>under NR network control, a new NR-</w:t>
      </w:r>
      <w:proofErr w:type="spellStart"/>
      <w:r w:rsidR="00867E6A" w:rsidRPr="00160871">
        <w:rPr>
          <w:color w:val="auto"/>
          <w:sz w:val="20"/>
          <w:szCs w:val="20"/>
        </w:rPr>
        <w:t>SIBx</w:t>
      </w:r>
      <w:proofErr w:type="spellEnd"/>
      <w:r w:rsidR="00867E6A" w:rsidRPr="00160871">
        <w:rPr>
          <w:color w:val="auto"/>
          <w:sz w:val="20"/>
          <w:szCs w:val="20"/>
        </w:rPr>
        <w:t xml:space="preserve"> should be </w:t>
      </w:r>
      <w:r w:rsidR="00867E6A" w:rsidRPr="00160871">
        <w:rPr>
          <w:color w:val="auto"/>
          <w:sz w:val="20"/>
          <w:szCs w:val="20"/>
        </w:rPr>
        <w:lastRenderedPageBreak/>
        <w:t>created for common RRC configuration of resource pools</w:t>
      </w:r>
      <w:r w:rsidR="00E15ABB" w:rsidRPr="00160871">
        <w:rPr>
          <w:color w:val="auto"/>
          <w:sz w:val="20"/>
          <w:szCs w:val="20"/>
        </w:rPr>
        <w:t xml:space="preserve"> for RRC_IDLE UEs</w:t>
      </w:r>
      <w:r w:rsidR="00867E6A" w:rsidRPr="00160871">
        <w:rPr>
          <w:color w:val="auto"/>
          <w:sz w:val="20"/>
          <w:szCs w:val="20"/>
        </w:rPr>
        <w:t xml:space="preserve">, as well as </w:t>
      </w:r>
      <w:r w:rsidR="00E15ABB" w:rsidRPr="00160871">
        <w:rPr>
          <w:color w:val="auto"/>
          <w:sz w:val="20"/>
          <w:szCs w:val="20"/>
        </w:rPr>
        <w:t>dedicated RRC configuration for RRC_CONNECTED UEs</w:t>
      </w:r>
      <w:r w:rsidR="00867E6A" w:rsidRPr="00160871">
        <w:rPr>
          <w:color w:val="auto"/>
          <w:sz w:val="20"/>
          <w:szCs w:val="20"/>
        </w:rPr>
        <w:t>.</w:t>
      </w:r>
    </w:p>
    <w:p w14:paraId="2F6354A5" w14:textId="340E0F4C" w:rsidR="003C70F9" w:rsidRDefault="003C70F9" w:rsidP="004A03BC">
      <w:pPr>
        <w:pStyle w:val="BodyText"/>
        <w:rPr>
          <w:sz w:val="20"/>
          <w:szCs w:val="20"/>
        </w:rPr>
      </w:pPr>
    </w:p>
    <w:p w14:paraId="008FDFF0" w14:textId="4C511EE0" w:rsidR="00F74466" w:rsidRPr="007E4754" w:rsidRDefault="00F74466" w:rsidP="00F74466">
      <w:pPr>
        <w:pStyle w:val="BodyText"/>
        <w:rPr>
          <w:b/>
          <w:i/>
          <w:color w:val="auto"/>
          <w:sz w:val="20"/>
          <w:szCs w:val="20"/>
        </w:rPr>
      </w:pPr>
      <w:r w:rsidRPr="007E4754">
        <w:rPr>
          <w:b/>
          <w:i/>
          <w:color w:val="auto"/>
          <w:sz w:val="20"/>
          <w:szCs w:val="20"/>
        </w:rPr>
        <w:t xml:space="preserve">Proposal 1: In order to support existing LTE sidelink operations in mode 4 in </w:t>
      </w:r>
      <w:r w:rsidR="007E4754" w:rsidRPr="007E4754">
        <w:rPr>
          <w:b/>
          <w:i/>
          <w:color w:val="auto"/>
          <w:sz w:val="20"/>
          <w:szCs w:val="20"/>
        </w:rPr>
        <w:t xml:space="preserve">a </w:t>
      </w:r>
      <w:r w:rsidRPr="007E4754">
        <w:rPr>
          <w:b/>
          <w:i/>
          <w:color w:val="auto"/>
          <w:sz w:val="20"/>
          <w:szCs w:val="20"/>
        </w:rPr>
        <w:t>same manner when under NR Uu control, it is proposed that both common NR RRC (e.g. via a new NR-</w:t>
      </w:r>
      <w:proofErr w:type="spellStart"/>
      <w:r w:rsidRPr="007E4754">
        <w:rPr>
          <w:b/>
          <w:i/>
          <w:color w:val="auto"/>
          <w:sz w:val="20"/>
          <w:szCs w:val="20"/>
        </w:rPr>
        <w:t>SIBx</w:t>
      </w:r>
      <w:proofErr w:type="spellEnd"/>
      <w:r w:rsidRPr="007E4754">
        <w:rPr>
          <w:b/>
          <w:i/>
          <w:color w:val="auto"/>
          <w:sz w:val="20"/>
          <w:szCs w:val="20"/>
        </w:rPr>
        <w:t>) and dedicated NR RRC signalling</w:t>
      </w:r>
      <w:r w:rsidR="007E4754" w:rsidRPr="007E4754">
        <w:rPr>
          <w:b/>
          <w:i/>
          <w:color w:val="auto"/>
          <w:sz w:val="20"/>
          <w:szCs w:val="20"/>
        </w:rPr>
        <w:t xml:space="preserve"> should be supported.</w:t>
      </w:r>
    </w:p>
    <w:p w14:paraId="118042D0" w14:textId="77777777" w:rsidR="00F74466" w:rsidRDefault="00F74466" w:rsidP="004A03BC">
      <w:pPr>
        <w:pStyle w:val="BodyText"/>
        <w:rPr>
          <w:sz w:val="20"/>
          <w:szCs w:val="20"/>
        </w:rPr>
      </w:pPr>
    </w:p>
    <w:p w14:paraId="1EAE1249" w14:textId="7265D000" w:rsidR="00B076E7" w:rsidRPr="00E118B0" w:rsidRDefault="00B076E7" w:rsidP="004A03BC">
      <w:pPr>
        <w:pStyle w:val="BodyText"/>
        <w:rPr>
          <w:color w:val="auto"/>
          <w:sz w:val="20"/>
          <w:szCs w:val="20"/>
        </w:rPr>
      </w:pPr>
      <w:r w:rsidRPr="00655F5A">
        <w:rPr>
          <w:color w:val="auto"/>
          <w:sz w:val="20"/>
          <w:szCs w:val="20"/>
        </w:rPr>
        <w:t xml:space="preserve">The supporting of LTE sidelink mode 3 operation under NR network (i.e. over NR Uu interface), RAN1 concluded in the last meeting not to support DCI-based activation/release of SPS scheduling. Instead, a new </w:t>
      </w:r>
      <w:r w:rsidR="000A7BDE">
        <w:rPr>
          <w:color w:val="auto"/>
          <w:sz w:val="20"/>
          <w:szCs w:val="20"/>
        </w:rPr>
        <w:t xml:space="preserve">feature of </w:t>
      </w:r>
      <w:r w:rsidRPr="00655F5A">
        <w:rPr>
          <w:color w:val="auto"/>
          <w:sz w:val="20"/>
          <w:szCs w:val="20"/>
        </w:rPr>
        <w:t xml:space="preserve">RRC-based activation/release of SPS resources </w:t>
      </w:r>
      <w:r w:rsidR="0002538A" w:rsidRPr="00655F5A">
        <w:rPr>
          <w:color w:val="auto"/>
          <w:sz w:val="20"/>
          <w:szCs w:val="20"/>
        </w:rPr>
        <w:t xml:space="preserve">was </w:t>
      </w:r>
      <w:r w:rsidR="009B3062">
        <w:rPr>
          <w:color w:val="auto"/>
          <w:sz w:val="20"/>
          <w:szCs w:val="20"/>
        </w:rPr>
        <w:t>introduced</w:t>
      </w:r>
      <w:r w:rsidR="0002538A" w:rsidRPr="00655F5A">
        <w:rPr>
          <w:color w:val="auto"/>
          <w:sz w:val="20"/>
          <w:szCs w:val="20"/>
        </w:rPr>
        <w:t xml:space="preserve"> </w:t>
      </w:r>
      <w:r w:rsidR="00655F5A" w:rsidRPr="00655F5A">
        <w:rPr>
          <w:color w:val="auto"/>
          <w:sz w:val="20"/>
          <w:szCs w:val="20"/>
        </w:rPr>
        <w:t>to align with the mechanism agreed for controlling NR sidelink by LTE Uu (i.e. via configuration of type 1 configured grant resources). Additionally, it was also unclear whether the signalling exchange from UE-inter</w:t>
      </w:r>
      <w:r w:rsidR="000A7BDE">
        <w:rPr>
          <w:color w:val="auto"/>
          <w:sz w:val="20"/>
          <w:szCs w:val="20"/>
        </w:rPr>
        <w:t>n</w:t>
      </w:r>
      <w:r w:rsidR="00655F5A" w:rsidRPr="00655F5A">
        <w:rPr>
          <w:color w:val="auto"/>
          <w:sz w:val="20"/>
          <w:szCs w:val="20"/>
        </w:rPr>
        <w:t xml:space="preserve">al NR module to the LTE module over the proprietary interface would be fast enough, within 4ms as currently specified </w:t>
      </w:r>
      <w:r w:rsidR="00655F5A">
        <w:rPr>
          <w:color w:val="auto"/>
          <w:sz w:val="20"/>
          <w:szCs w:val="20"/>
        </w:rPr>
        <w:t>for</w:t>
      </w:r>
      <w:r w:rsidR="00655F5A" w:rsidRPr="00655F5A">
        <w:rPr>
          <w:color w:val="auto"/>
          <w:sz w:val="20"/>
          <w:szCs w:val="20"/>
        </w:rPr>
        <w:t xml:space="preserve"> mode 3 operation, in order to support DCI-based activation/release of SPS schedulin</w:t>
      </w:r>
      <w:r w:rsidR="00655F5A" w:rsidRPr="004F16DA">
        <w:rPr>
          <w:color w:val="auto"/>
          <w:sz w:val="20"/>
          <w:szCs w:val="20"/>
        </w:rPr>
        <w:t xml:space="preserve">g. However, during RAN#83 meeting, concerns were raised regarding </w:t>
      </w:r>
      <w:r w:rsidR="004F16DA" w:rsidRPr="004F16DA">
        <w:rPr>
          <w:color w:val="auto"/>
          <w:sz w:val="20"/>
          <w:szCs w:val="20"/>
        </w:rPr>
        <w:t>backward compatibility</w:t>
      </w:r>
      <w:r w:rsidR="00655F5A" w:rsidRPr="004F16DA">
        <w:rPr>
          <w:color w:val="auto"/>
          <w:sz w:val="20"/>
          <w:szCs w:val="20"/>
        </w:rPr>
        <w:t xml:space="preserve"> and </w:t>
      </w:r>
      <w:r w:rsidR="004F16DA" w:rsidRPr="004F16DA">
        <w:rPr>
          <w:color w:val="auto"/>
          <w:sz w:val="20"/>
          <w:szCs w:val="20"/>
        </w:rPr>
        <w:t>performance</w:t>
      </w:r>
      <w:r w:rsidR="00655F5A" w:rsidRPr="004F16DA">
        <w:rPr>
          <w:color w:val="auto"/>
          <w:sz w:val="20"/>
          <w:szCs w:val="20"/>
        </w:rPr>
        <w:t xml:space="preserve"> </w:t>
      </w:r>
      <w:r w:rsidR="004F16DA" w:rsidRPr="004F16DA">
        <w:rPr>
          <w:color w:val="auto"/>
          <w:sz w:val="20"/>
          <w:szCs w:val="20"/>
        </w:rPr>
        <w:t xml:space="preserve">of the new “mode 3-like” feature, where its operation cannot be controlled as dynamic as the existing mode 3 operation. And </w:t>
      </w:r>
      <w:r w:rsidR="002D117C">
        <w:rPr>
          <w:color w:val="auto"/>
          <w:sz w:val="20"/>
          <w:szCs w:val="20"/>
        </w:rPr>
        <w:t>UE</w:t>
      </w:r>
      <w:r w:rsidR="004F16DA" w:rsidRPr="004F16DA">
        <w:rPr>
          <w:color w:val="auto"/>
          <w:sz w:val="20"/>
          <w:szCs w:val="20"/>
        </w:rPr>
        <w:t xml:space="preserve"> implementation of in-device LTE module needs to be based on the latest Rel-16</w:t>
      </w:r>
      <w:r w:rsidR="002D117C">
        <w:rPr>
          <w:color w:val="auto"/>
          <w:sz w:val="20"/>
          <w:szCs w:val="20"/>
        </w:rPr>
        <w:t xml:space="preserve"> specifications</w:t>
      </w:r>
      <w:r w:rsidR="004F16DA" w:rsidRPr="004F16DA">
        <w:rPr>
          <w:color w:val="auto"/>
          <w:sz w:val="20"/>
          <w:szCs w:val="20"/>
        </w:rPr>
        <w:t>, as earlier releases (Rel-14/15) would not support this new feature</w:t>
      </w:r>
      <w:r w:rsidR="00E118B0">
        <w:rPr>
          <w:color w:val="auto"/>
          <w:sz w:val="20"/>
          <w:szCs w:val="20"/>
        </w:rPr>
        <w:t>. T</w:t>
      </w:r>
      <w:r w:rsidR="002D117C">
        <w:rPr>
          <w:color w:val="auto"/>
          <w:sz w:val="20"/>
          <w:szCs w:val="20"/>
        </w:rPr>
        <w:t>hus, limiting</w:t>
      </w:r>
      <w:r w:rsidR="00E118B0">
        <w:rPr>
          <w:color w:val="auto"/>
          <w:sz w:val="20"/>
          <w:szCs w:val="20"/>
        </w:rPr>
        <w:t xml:space="preserve"> flexibility of </w:t>
      </w:r>
      <w:r w:rsidR="00E118B0" w:rsidRPr="00E118B0">
        <w:rPr>
          <w:color w:val="auto"/>
          <w:sz w:val="20"/>
          <w:szCs w:val="20"/>
        </w:rPr>
        <w:t>implementation choice</w:t>
      </w:r>
      <w:r w:rsidR="004F16DA" w:rsidRPr="00E118B0">
        <w:rPr>
          <w:color w:val="auto"/>
          <w:sz w:val="20"/>
          <w:szCs w:val="20"/>
        </w:rPr>
        <w:t xml:space="preserve">. As such, RAN#83 </w:t>
      </w:r>
      <w:r w:rsidR="00E118B0" w:rsidRPr="00E118B0">
        <w:rPr>
          <w:color w:val="auto"/>
          <w:sz w:val="20"/>
          <w:szCs w:val="20"/>
        </w:rPr>
        <w:t xml:space="preserve">tasked </w:t>
      </w:r>
      <w:r w:rsidR="004F16DA" w:rsidRPr="00E118B0">
        <w:rPr>
          <w:color w:val="auto"/>
          <w:sz w:val="20"/>
          <w:szCs w:val="20"/>
        </w:rPr>
        <w:t xml:space="preserve">RAN1 to </w:t>
      </w:r>
      <w:r w:rsidR="00E118B0" w:rsidRPr="00E118B0">
        <w:rPr>
          <w:color w:val="auto"/>
          <w:sz w:val="20"/>
          <w:szCs w:val="20"/>
        </w:rPr>
        <w:t>re</w:t>
      </w:r>
      <w:r w:rsidR="004F16DA" w:rsidRPr="00E118B0">
        <w:rPr>
          <w:color w:val="auto"/>
          <w:sz w:val="20"/>
          <w:szCs w:val="20"/>
        </w:rPr>
        <w:t>investigate the operation of both RRC-based and DCI-based activation/release of SPS scheduling, and make a decision of which option to support according to the approved WID [1].</w:t>
      </w:r>
    </w:p>
    <w:p w14:paraId="011BD155" w14:textId="77777777" w:rsidR="00B076E7" w:rsidRDefault="00B076E7" w:rsidP="004A03BC">
      <w:pPr>
        <w:pStyle w:val="BodyText"/>
        <w:rPr>
          <w:sz w:val="20"/>
          <w:szCs w:val="20"/>
        </w:rPr>
      </w:pPr>
    </w:p>
    <w:p w14:paraId="05E6F3C1" w14:textId="633D3FB3" w:rsidR="00E118B0" w:rsidRPr="00B50FA5" w:rsidRDefault="00E118B0" w:rsidP="004A03BC">
      <w:pPr>
        <w:pStyle w:val="BodyText"/>
        <w:rPr>
          <w:color w:val="auto"/>
          <w:sz w:val="20"/>
          <w:szCs w:val="20"/>
        </w:rPr>
      </w:pPr>
      <w:r w:rsidRPr="00B50FA5">
        <w:rPr>
          <w:color w:val="auto"/>
          <w:sz w:val="20"/>
          <w:szCs w:val="20"/>
        </w:rPr>
        <w:t xml:space="preserve">To recap the operation of </w:t>
      </w:r>
      <w:r w:rsidR="00ED5069" w:rsidRPr="00B50FA5">
        <w:rPr>
          <w:color w:val="auto"/>
          <w:sz w:val="20"/>
          <w:szCs w:val="20"/>
        </w:rPr>
        <w:t>DCI-based activation/release of RRC configured SPS resources, as currently supported in LTE mode 3 operation, the following steps are required:</w:t>
      </w:r>
    </w:p>
    <w:p w14:paraId="27076FC6" w14:textId="7BA1D3F5" w:rsidR="00B066C3" w:rsidRPr="00B50FA5" w:rsidRDefault="00B066C3" w:rsidP="00ED5069">
      <w:pPr>
        <w:pStyle w:val="BodyText"/>
        <w:numPr>
          <w:ilvl w:val="0"/>
          <w:numId w:val="14"/>
        </w:numPr>
        <w:rPr>
          <w:color w:val="auto"/>
          <w:sz w:val="20"/>
          <w:szCs w:val="20"/>
        </w:rPr>
      </w:pPr>
      <w:r w:rsidRPr="00B50FA5">
        <w:rPr>
          <w:color w:val="auto"/>
          <w:sz w:val="20"/>
          <w:szCs w:val="20"/>
        </w:rPr>
        <w:t>BS configures periodically occurring SPS resources using dedicated RRC signalling.</w:t>
      </w:r>
    </w:p>
    <w:p w14:paraId="3FC1B388" w14:textId="0CF4D120" w:rsidR="00ED5069" w:rsidRPr="00B50FA5" w:rsidRDefault="00ED5069" w:rsidP="00ED5069">
      <w:pPr>
        <w:pStyle w:val="BodyText"/>
        <w:numPr>
          <w:ilvl w:val="0"/>
          <w:numId w:val="14"/>
        </w:numPr>
        <w:rPr>
          <w:color w:val="auto"/>
          <w:sz w:val="20"/>
          <w:szCs w:val="20"/>
        </w:rPr>
      </w:pPr>
      <w:r w:rsidRPr="00B50FA5">
        <w:rPr>
          <w:color w:val="auto"/>
          <w:sz w:val="20"/>
          <w:szCs w:val="20"/>
        </w:rPr>
        <w:t>BS sends / UE monitors and receives SPS activation command via DCI over the Uu interface in the DL (e.g. DCI format 5A), indicating a SPS process ID#.</w:t>
      </w:r>
    </w:p>
    <w:p w14:paraId="5B76B171" w14:textId="6FCB6C5E" w:rsidR="00ED5069" w:rsidRPr="00B50FA5" w:rsidRDefault="00ED5069" w:rsidP="00ED5069">
      <w:pPr>
        <w:pStyle w:val="BodyText"/>
        <w:numPr>
          <w:ilvl w:val="0"/>
          <w:numId w:val="14"/>
        </w:numPr>
        <w:rPr>
          <w:color w:val="auto"/>
          <w:sz w:val="20"/>
          <w:szCs w:val="20"/>
        </w:rPr>
      </w:pPr>
      <w:r w:rsidRPr="00B50FA5">
        <w:rPr>
          <w:color w:val="auto"/>
          <w:sz w:val="20"/>
          <w:szCs w:val="20"/>
        </w:rPr>
        <w:t>The UE uses the activates SPS resources for transmitting its V2X messages.</w:t>
      </w:r>
    </w:p>
    <w:p w14:paraId="6700F0F5" w14:textId="54AAF77E" w:rsidR="00ED5069" w:rsidRPr="00B50FA5" w:rsidRDefault="00ED5069" w:rsidP="00ED5069">
      <w:pPr>
        <w:pStyle w:val="BodyText"/>
        <w:numPr>
          <w:ilvl w:val="0"/>
          <w:numId w:val="14"/>
        </w:numPr>
        <w:rPr>
          <w:color w:val="auto"/>
          <w:sz w:val="20"/>
          <w:szCs w:val="20"/>
        </w:rPr>
      </w:pPr>
      <w:r w:rsidRPr="00B50FA5">
        <w:rPr>
          <w:color w:val="auto"/>
          <w:sz w:val="20"/>
          <w:szCs w:val="20"/>
        </w:rPr>
        <w:t xml:space="preserve">To release the SPS process, </w:t>
      </w:r>
      <w:r w:rsidR="00B066C3" w:rsidRPr="00B50FA5">
        <w:rPr>
          <w:color w:val="auto"/>
          <w:sz w:val="20"/>
          <w:szCs w:val="20"/>
        </w:rPr>
        <w:t xml:space="preserve">the </w:t>
      </w:r>
      <w:r w:rsidRPr="00B50FA5">
        <w:rPr>
          <w:color w:val="auto"/>
          <w:sz w:val="20"/>
          <w:szCs w:val="20"/>
        </w:rPr>
        <w:t>BS sends / UE monitors and receives the same DCI command over the Uu interface in the DL indicating an already activated SPS process ID#.</w:t>
      </w:r>
    </w:p>
    <w:p w14:paraId="33CD0A19" w14:textId="2FE900DD" w:rsidR="00ED5069" w:rsidRPr="00B50FA5" w:rsidRDefault="00ED5069" w:rsidP="00ED5069">
      <w:pPr>
        <w:pStyle w:val="BodyText"/>
        <w:numPr>
          <w:ilvl w:val="0"/>
          <w:numId w:val="14"/>
        </w:numPr>
        <w:rPr>
          <w:color w:val="auto"/>
          <w:sz w:val="20"/>
          <w:szCs w:val="20"/>
        </w:rPr>
      </w:pPr>
      <w:r w:rsidRPr="00B50FA5">
        <w:rPr>
          <w:color w:val="auto"/>
          <w:sz w:val="20"/>
          <w:szCs w:val="20"/>
        </w:rPr>
        <w:t>The UE stops sending V2X messages on the released SPS process, and the BS can flexibly reuse these resources for other purposes.</w:t>
      </w:r>
    </w:p>
    <w:p w14:paraId="7012BA78" w14:textId="5146F9EF" w:rsidR="00ED5069" w:rsidRPr="00B50FA5" w:rsidRDefault="00ED5069" w:rsidP="004A03BC">
      <w:pPr>
        <w:pStyle w:val="BodyText"/>
        <w:rPr>
          <w:color w:val="auto"/>
          <w:sz w:val="20"/>
          <w:szCs w:val="20"/>
        </w:rPr>
      </w:pPr>
    </w:p>
    <w:p w14:paraId="2AEF2044" w14:textId="233B311D" w:rsidR="00ED5069" w:rsidRPr="00B50FA5" w:rsidRDefault="00ED5069" w:rsidP="004A03BC">
      <w:pPr>
        <w:pStyle w:val="BodyText"/>
        <w:rPr>
          <w:color w:val="auto"/>
          <w:sz w:val="20"/>
          <w:szCs w:val="20"/>
        </w:rPr>
      </w:pPr>
      <w:r w:rsidRPr="00B50FA5">
        <w:rPr>
          <w:color w:val="auto"/>
          <w:sz w:val="20"/>
          <w:szCs w:val="20"/>
        </w:rPr>
        <w:t>To mimic the</w:t>
      </w:r>
      <w:r w:rsidR="00B066C3" w:rsidRPr="00B50FA5">
        <w:rPr>
          <w:color w:val="auto"/>
          <w:sz w:val="20"/>
          <w:szCs w:val="20"/>
        </w:rPr>
        <w:t xml:space="preserve"> above</w:t>
      </w:r>
      <w:r w:rsidRPr="00B50FA5">
        <w:rPr>
          <w:color w:val="auto"/>
          <w:sz w:val="20"/>
          <w:szCs w:val="20"/>
        </w:rPr>
        <w:t xml:space="preserve"> </w:t>
      </w:r>
      <w:r w:rsidR="00B066C3" w:rsidRPr="00B50FA5">
        <w:rPr>
          <w:color w:val="auto"/>
          <w:sz w:val="20"/>
          <w:szCs w:val="20"/>
        </w:rPr>
        <w:t xml:space="preserve">same functionalities using RRC-based signalling mechanism, as in the agreed new mode 3-like feature, the following steps are </w:t>
      </w:r>
      <w:r w:rsidR="005601BB">
        <w:rPr>
          <w:color w:val="auto"/>
          <w:sz w:val="20"/>
          <w:szCs w:val="20"/>
        </w:rPr>
        <w:t>stipulated</w:t>
      </w:r>
      <w:r w:rsidR="00B066C3" w:rsidRPr="00B50FA5">
        <w:rPr>
          <w:color w:val="auto"/>
          <w:sz w:val="20"/>
          <w:szCs w:val="20"/>
        </w:rPr>
        <w:t>:</w:t>
      </w:r>
    </w:p>
    <w:p w14:paraId="077FF444" w14:textId="18349B57" w:rsidR="00B066C3" w:rsidRPr="00B50FA5" w:rsidRDefault="00B066C3" w:rsidP="00B066C3">
      <w:pPr>
        <w:pStyle w:val="BodyText"/>
        <w:numPr>
          <w:ilvl w:val="0"/>
          <w:numId w:val="14"/>
        </w:numPr>
        <w:rPr>
          <w:color w:val="auto"/>
          <w:sz w:val="20"/>
          <w:szCs w:val="20"/>
        </w:rPr>
      </w:pPr>
      <w:r w:rsidRPr="00B50FA5">
        <w:rPr>
          <w:color w:val="auto"/>
          <w:sz w:val="20"/>
          <w:szCs w:val="20"/>
        </w:rPr>
        <w:t xml:space="preserve">BS configures periodically occurring SPS resources using dedicated RRC signalling. To reduce </w:t>
      </w:r>
      <w:r w:rsidR="00F445AF">
        <w:rPr>
          <w:color w:val="auto"/>
          <w:sz w:val="20"/>
          <w:szCs w:val="20"/>
        </w:rPr>
        <w:t xml:space="preserve">latency of the initial </w:t>
      </w:r>
      <w:r w:rsidRPr="00B50FA5">
        <w:rPr>
          <w:color w:val="auto"/>
          <w:sz w:val="20"/>
          <w:szCs w:val="20"/>
        </w:rPr>
        <w:t>activation, the RRC message (i.e. SPS grant configuration) includes also mode 3 grant content and activation timing.</w:t>
      </w:r>
    </w:p>
    <w:p w14:paraId="66D5F61C" w14:textId="0ED494C2" w:rsidR="00B066C3" w:rsidRPr="00B50FA5" w:rsidRDefault="00B066C3" w:rsidP="00B066C3">
      <w:pPr>
        <w:pStyle w:val="BodyText"/>
        <w:numPr>
          <w:ilvl w:val="0"/>
          <w:numId w:val="14"/>
        </w:numPr>
        <w:rPr>
          <w:color w:val="auto"/>
          <w:sz w:val="20"/>
          <w:szCs w:val="20"/>
        </w:rPr>
      </w:pPr>
      <w:r w:rsidRPr="00B50FA5">
        <w:rPr>
          <w:color w:val="auto"/>
          <w:sz w:val="20"/>
          <w:szCs w:val="20"/>
        </w:rPr>
        <w:t>The UE uses the activates SPS resources for transmitting its V2X messages.</w:t>
      </w:r>
    </w:p>
    <w:p w14:paraId="627F6BD3" w14:textId="54645045" w:rsidR="00B50FA5" w:rsidRPr="00B50FA5" w:rsidRDefault="00B066C3" w:rsidP="00B066C3">
      <w:pPr>
        <w:pStyle w:val="BodyText"/>
        <w:numPr>
          <w:ilvl w:val="0"/>
          <w:numId w:val="14"/>
        </w:numPr>
        <w:rPr>
          <w:color w:val="auto"/>
          <w:sz w:val="20"/>
          <w:szCs w:val="20"/>
        </w:rPr>
      </w:pPr>
      <w:r w:rsidRPr="00B50FA5">
        <w:rPr>
          <w:color w:val="auto"/>
          <w:sz w:val="20"/>
          <w:szCs w:val="20"/>
        </w:rPr>
        <w:t xml:space="preserve">To release the SPS </w:t>
      </w:r>
      <w:r w:rsidR="00B50FA5" w:rsidRPr="00B50FA5">
        <w:rPr>
          <w:color w:val="auto"/>
          <w:sz w:val="20"/>
          <w:szCs w:val="20"/>
        </w:rPr>
        <w:t>resources</w:t>
      </w:r>
      <w:r w:rsidRPr="00B50FA5">
        <w:rPr>
          <w:color w:val="auto"/>
          <w:sz w:val="20"/>
          <w:szCs w:val="20"/>
        </w:rPr>
        <w:t>, the BS</w:t>
      </w:r>
      <w:r w:rsidR="00B50FA5" w:rsidRPr="00B50FA5">
        <w:rPr>
          <w:color w:val="auto"/>
          <w:sz w:val="20"/>
          <w:szCs w:val="20"/>
        </w:rPr>
        <w:t xml:space="preserve"> delivers </w:t>
      </w:r>
      <w:r w:rsidR="001110C2">
        <w:rPr>
          <w:color w:val="auto"/>
          <w:sz w:val="20"/>
          <w:szCs w:val="20"/>
        </w:rPr>
        <w:t>another</w:t>
      </w:r>
      <w:r w:rsidR="00B50FA5" w:rsidRPr="00B50FA5">
        <w:rPr>
          <w:color w:val="auto"/>
          <w:sz w:val="20"/>
          <w:szCs w:val="20"/>
        </w:rPr>
        <w:t xml:space="preserve"> RRC message using dedicated RRC signalling to the UE.</w:t>
      </w:r>
    </w:p>
    <w:p w14:paraId="0C5BA036" w14:textId="5212CF4B" w:rsidR="00B066C3" w:rsidRPr="00B50FA5" w:rsidRDefault="00B50FA5" w:rsidP="00B066C3">
      <w:pPr>
        <w:pStyle w:val="BodyText"/>
        <w:numPr>
          <w:ilvl w:val="0"/>
          <w:numId w:val="14"/>
        </w:numPr>
        <w:rPr>
          <w:color w:val="auto"/>
          <w:sz w:val="20"/>
          <w:szCs w:val="20"/>
        </w:rPr>
      </w:pPr>
      <w:r w:rsidRPr="00B50FA5">
        <w:rPr>
          <w:color w:val="auto"/>
          <w:sz w:val="20"/>
          <w:szCs w:val="20"/>
        </w:rPr>
        <w:t>The UE stops sending V2X messages on the released SPS process, and the BS can flexibly reuse these resources for other purposes.</w:t>
      </w:r>
    </w:p>
    <w:p w14:paraId="22988C31" w14:textId="77777777" w:rsidR="00ED5069" w:rsidRPr="00B50FA5" w:rsidRDefault="00ED5069" w:rsidP="004A03BC">
      <w:pPr>
        <w:pStyle w:val="BodyText"/>
        <w:rPr>
          <w:color w:val="auto"/>
          <w:sz w:val="20"/>
          <w:szCs w:val="20"/>
        </w:rPr>
      </w:pPr>
    </w:p>
    <w:p w14:paraId="25E126B7" w14:textId="648D4FAC" w:rsidR="00867E6A" w:rsidRDefault="00B50FA5" w:rsidP="004A03BC">
      <w:pPr>
        <w:pStyle w:val="BodyText"/>
        <w:rPr>
          <w:color w:val="auto"/>
          <w:sz w:val="20"/>
          <w:szCs w:val="20"/>
        </w:rPr>
      </w:pPr>
      <w:r w:rsidRPr="00B50FA5">
        <w:rPr>
          <w:color w:val="auto"/>
          <w:sz w:val="20"/>
          <w:szCs w:val="20"/>
        </w:rPr>
        <w:t xml:space="preserve">Observing from the above steps, it seems the DCI-based activation </w:t>
      </w:r>
      <w:r w:rsidR="00420F6D">
        <w:rPr>
          <w:color w:val="auto"/>
          <w:sz w:val="20"/>
          <w:szCs w:val="20"/>
        </w:rPr>
        <w:t xml:space="preserve">would </w:t>
      </w:r>
      <w:r w:rsidRPr="00B50FA5">
        <w:rPr>
          <w:color w:val="auto"/>
          <w:sz w:val="20"/>
          <w:szCs w:val="20"/>
        </w:rPr>
        <w:t>involve an additional step to activate the configured SPS resources compared to the RRC-based method, but on the other hand, the RRC-based SPS resources release would incur additional time from using dedicated RRC signalling. Overall, we compile the following pros and cons of using DCI-based and RRC-based activation/release methods.</w:t>
      </w:r>
    </w:p>
    <w:p w14:paraId="16172499" w14:textId="10E3C47F" w:rsidR="00420F6D" w:rsidRDefault="00420F6D" w:rsidP="004A03BC">
      <w:pPr>
        <w:pStyle w:val="BodyText"/>
        <w:rPr>
          <w:color w:val="auto"/>
          <w:sz w:val="20"/>
          <w:szCs w:val="20"/>
        </w:rPr>
      </w:pPr>
    </w:p>
    <w:p w14:paraId="0CF5F77C" w14:textId="3284A57F" w:rsidR="00420F6D" w:rsidRPr="00420F6D" w:rsidRDefault="00420F6D" w:rsidP="00420F6D">
      <w:pPr>
        <w:pStyle w:val="BodyText"/>
        <w:ind w:left="-426"/>
        <w:rPr>
          <w:b/>
          <w:color w:val="auto"/>
          <w:sz w:val="20"/>
          <w:szCs w:val="20"/>
          <w:u w:val="single"/>
        </w:rPr>
      </w:pPr>
      <w:r w:rsidRPr="00420F6D">
        <w:rPr>
          <w:b/>
          <w:color w:val="auto"/>
          <w:sz w:val="20"/>
          <w:szCs w:val="20"/>
          <w:u w:val="single"/>
        </w:rPr>
        <w:t>DCI-based activation / release</w:t>
      </w:r>
    </w:p>
    <w:p w14:paraId="51C48ED6" w14:textId="064791AA" w:rsidR="00B50FA5" w:rsidRDefault="00B50FA5" w:rsidP="004A03BC">
      <w:pPr>
        <w:pStyle w:val="BodyText"/>
        <w:rPr>
          <w:sz w:val="20"/>
          <w:szCs w:val="20"/>
        </w:rPr>
      </w:pPr>
    </w:p>
    <w:tbl>
      <w:tblPr>
        <w:tblW w:w="9640"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5"/>
        <w:gridCol w:w="5255"/>
      </w:tblGrid>
      <w:tr w:rsidR="00523A4F" w:rsidRPr="00523A4F" w14:paraId="343E610E" w14:textId="77777777" w:rsidTr="00420F6D">
        <w:trPr>
          <w:trHeight w:val="288"/>
        </w:trPr>
        <w:tc>
          <w:tcPr>
            <w:tcW w:w="4385" w:type="dxa"/>
            <w:shd w:val="clear" w:color="auto" w:fill="auto"/>
            <w:noWrap/>
            <w:vAlign w:val="bottom"/>
            <w:hideMark/>
          </w:tcPr>
          <w:p w14:paraId="1EBCBC49" w14:textId="77777777" w:rsidR="00523A4F" w:rsidRPr="00523A4F" w:rsidRDefault="00523A4F" w:rsidP="00523A4F">
            <w:pPr>
              <w:jc w:val="center"/>
              <w:rPr>
                <w:rFonts w:ascii="Calibri" w:eastAsia="Times New Roman" w:hAnsi="Calibri" w:cs="Calibri"/>
                <w:b/>
                <w:bCs/>
                <w:color w:val="000000"/>
                <w:sz w:val="22"/>
                <w:szCs w:val="22"/>
                <w:lang w:val="en-AU"/>
              </w:rPr>
            </w:pPr>
            <w:r w:rsidRPr="00523A4F">
              <w:rPr>
                <w:rFonts w:ascii="Calibri" w:eastAsia="Times New Roman" w:hAnsi="Calibri" w:cs="Calibri"/>
                <w:b/>
                <w:bCs/>
                <w:color w:val="000000"/>
                <w:sz w:val="22"/>
                <w:szCs w:val="22"/>
                <w:lang w:val="en-AU"/>
              </w:rPr>
              <w:t>Pros</w:t>
            </w:r>
          </w:p>
        </w:tc>
        <w:tc>
          <w:tcPr>
            <w:tcW w:w="5255" w:type="dxa"/>
            <w:shd w:val="clear" w:color="auto" w:fill="auto"/>
            <w:noWrap/>
            <w:vAlign w:val="bottom"/>
            <w:hideMark/>
          </w:tcPr>
          <w:p w14:paraId="498FFF35" w14:textId="77777777" w:rsidR="00523A4F" w:rsidRPr="00523A4F" w:rsidRDefault="00523A4F" w:rsidP="00523A4F">
            <w:pPr>
              <w:jc w:val="center"/>
              <w:rPr>
                <w:rFonts w:ascii="Calibri" w:eastAsia="Times New Roman" w:hAnsi="Calibri" w:cs="Calibri"/>
                <w:b/>
                <w:bCs/>
                <w:color w:val="000000"/>
                <w:sz w:val="22"/>
                <w:szCs w:val="22"/>
                <w:lang w:val="en-AU"/>
              </w:rPr>
            </w:pPr>
            <w:r w:rsidRPr="00523A4F">
              <w:rPr>
                <w:rFonts w:ascii="Calibri" w:eastAsia="Times New Roman" w:hAnsi="Calibri" w:cs="Calibri"/>
                <w:b/>
                <w:bCs/>
                <w:color w:val="000000"/>
                <w:sz w:val="22"/>
                <w:szCs w:val="22"/>
                <w:lang w:val="en-AU"/>
              </w:rPr>
              <w:t>Cons</w:t>
            </w:r>
          </w:p>
        </w:tc>
      </w:tr>
      <w:tr w:rsidR="00523A4F" w:rsidRPr="00523A4F" w14:paraId="41519ECA" w14:textId="77777777" w:rsidTr="00420F6D">
        <w:trPr>
          <w:trHeight w:val="864"/>
        </w:trPr>
        <w:tc>
          <w:tcPr>
            <w:tcW w:w="4385" w:type="dxa"/>
            <w:shd w:val="clear" w:color="auto" w:fill="auto"/>
            <w:vAlign w:val="center"/>
            <w:hideMark/>
          </w:tcPr>
          <w:p w14:paraId="581E36E4" w14:textId="77777777" w:rsidR="00523A4F" w:rsidRPr="00523A4F" w:rsidRDefault="00523A4F" w:rsidP="00523A4F">
            <w:pPr>
              <w:jc w:val="left"/>
              <w:rPr>
                <w:rFonts w:ascii="Calibri" w:eastAsia="Times New Roman" w:hAnsi="Calibri" w:cs="Calibri"/>
                <w:color w:val="000000"/>
                <w:sz w:val="22"/>
                <w:szCs w:val="22"/>
                <w:lang w:val="en-AU"/>
              </w:rPr>
            </w:pPr>
            <w:r w:rsidRPr="00523A4F">
              <w:rPr>
                <w:rFonts w:ascii="Calibri" w:eastAsia="Times New Roman" w:hAnsi="Calibri" w:cs="Calibri"/>
                <w:color w:val="000000"/>
                <w:sz w:val="22"/>
                <w:szCs w:val="22"/>
                <w:lang w:val="en-AU"/>
              </w:rPr>
              <w:t>* Dynamic / fast SPS re-activation and release (1ms or less to decode DCI on NR Uu, depending on SCS) ==&gt; leads to better performance than RRC-based</w:t>
            </w:r>
          </w:p>
        </w:tc>
        <w:tc>
          <w:tcPr>
            <w:tcW w:w="5255" w:type="dxa"/>
            <w:shd w:val="clear" w:color="auto" w:fill="auto"/>
            <w:vAlign w:val="center"/>
            <w:hideMark/>
          </w:tcPr>
          <w:p w14:paraId="1A2CBCBF" w14:textId="77777777" w:rsidR="00523A4F" w:rsidRPr="00523A4F" w:rsidRDefault="00523A4F" w:rsidP="00523A4F">
            <w:pPr>
              <w:jc w:val="left"/>
              <w:rPr>
                <w:rFonts w:ascii="Calibri" w:eastAsia="Times New Roman" w:hAnsi="Calibri" w:cs="Calibri"/>
                <w:color w:val="000000"/>
                <w:sz w:val="22"/>
                <w:szCs w:val="22"/>
                <w:lang w:val="en-AU"/>
              </w:rPr>
            </w:pPr>
            <w:r w:rsidRPr="00523A4F">
              <w:rPr>
                <w:rFonts w:ascii="Calibri" w:eastAsia="Times New Roman" w:hAnsi="Calibri" w:cs="Calibri"/>
                <w:color w:val="000000"/>
                <w:sz w:val="22"/>
                <w:szCs w:val="22"/>
                <w:lang w:val="en-AU"/>
              </w:rPr>
              <w:t>* Design of DCI format to control LTE V2X over NR Uu</w:t>
            </w:r>
            <w:r w:rsidRPr="00523A4F">
              <w:rPr>
                <w:rFonts w:ascii="Calibri" w:eastAsia="Times New Roman" w:hAnsi="Calibri" w:cs="Calibri"/>
                <w:color w:val="000000"/>
                <w:sz w:val="22"/>
                <w:szCs w:val="22"/>
                <w:lang w:val="en-AU"/>
              </w:rPr>
              <w:br/>
              <w:t>(e.g. a single combined DCI format to control both NR and LTE V2X)</w:t>
            </w:r>
            <w:r w:rsidRPr="00523A4F">
              <w:rPr>
                <w:rFonts w:ascii="Calibri" w:eastAsia="Times New Roman" w:hAnsi="Calibri" w:cs="Calibri"/>
                <w:color w:val="000000"/>
                <w:sz w:val="22"/>
                <w:szCs w:val="22"/>
                <w:lang w:val="en-AU"/>
              </w:rPr>
              <w:br/>
              <w:t>==&gt; leads to more standards effort and discussion time in RAN1</w:t>
            </w:r>
          </w:p>
        </w:tc>
      </w:tr>
      <w:tr w:rsidR="00523A4F" w:rsidRPr="00523A4F" w14:paraId="29BCADB7" w14:textId="77777777" w:rsidTr="00420F6D">
        <w:trPr>
          <w:trHeight w:val="1152"/>
        </w:trPr>
        <w:tc>
          <w:tcPr>
            <w:tcW w:w="4385" w:type="dxa"/>
            <w:shd w:val="clear" w:color="auto" w:fill="auto"/>
            <w:vAlign w:val="center"/>
            <w:hideMark/>
          </w:tcPr>
          <w:p w14:paraId="73457615" w14:textId="1869D1B4" w:rsidR="00523A4F" w:rsidRPr="00523A4F" w:rsidRDefault="00523A4F" w:rsidP="00523A4F">
            <w:pPr>
              <w:jc w:val="left"/>
              <w:rPr>
                <w:rFonts w:ascii="Calibri" w:eastAsia="Times New Roman" w:hAnsi="Calibri" w:cs="Calibri"/>
                <w:color w:val="000000"/>
                <w:sz w:val="22"/>
                <w:szCs w:val="22"/>
                <w:lang w:val="en-AU"/>
              </w:rPr>
            </w:pPr>
            <w:r w:rsidRPr="00523A4F">
              <w:rPr>
                <w:rFonts w:ascii="Calibri" w:eastAsia="Times New Roman" w:hAnsi="Calibri" w:cs="Calibri"/>
                <w:color w:val="000000"/>
                <w:sz w:val="22"/>
                <w:szCs w:val="22"/>
                <w:lang w:val="en-AU"/>
              </w:rPr>
              <w:lastRenderedPageBreak/>
              <w:t xml:space="preserve">* Backward compatible to legacy R14/15 mode 3 operation, allowing </w:t>
            </w:r>
            <w:r w:rsidR="00420F6D" w:rsidRPr="00523A4F">
              <w:rPr>
                <w:rFonts w:ascii="Calibri" w:eastAsia="Times New Roman" w:hAnsi="Calibri" w:cs="Calibri"/>
                <w:color w:val="000000"/>
                <w:sz w:val="22"/>
                <w:szCs w:val="22"/>
                <w:lang w:val="en-AU"/>
              </w:rPr>
              <w:t>flexibility</w:t>
            </w:r>
            <w:r w:rsidRPr="00523A4F">
              <w:rPr>
                <w:rFonts w:ascii="Calibri" w:eastAsia="Times New Roman" w:hAnsi="Calibri" w:cs="Calibri"/>
                <w:color w:val="000000"/>
                <w:sz w:val="22"/>
                <w:szCs w:val="22"/>
                <w:lang w:val="en-AU"/>
              </w:rPr>
              <w:t xml:space="preserve"> in UE implementation choice</w:t>
            </w:r>
            <w:r w:rsidRPr="00523A4F">
              <w:rPr>
                <w:rFonts w:ascii="Calibri" w:eastAsia="Times New Roman" w:hAnsi="Calibri" w:cs="Calibri"/>
                <w:color w:val="000000"/>
                <w:sz w:val="22"/>
                <w:szCs w:val="22"/>
                <w:lang w:val="en-AU"/>
              </w:rPr>
              <w:br/>
              <w:t>(a cut-down version of mode 3 dynamic DCI not scheduling one shot transmission)</w:t>
            </w:r>
          </w:p>
        </w:tc>
        <w:tc>
          <w:tcPr>
            <w:tcW w:w="5255" w:type="dxa"/>
            <w:shd w:val="clear" w:color="auto" w:fill="auto"/>
            <w:noWrap/>
            <w:vAlign w:val="center"/>
            <w:hideMark/>
          </w:tcPr>
          <w:p w14:paraId="4AD00781" w14:textId="77777777" w:rsidR="00523A4F" w:rsidRPr="00523A4F" w:rsidRDefault="00523A4F" w:rsidP="00523A4F">
            <w:pPr>
              <w:jc w:val="left"/>
              <w:rPr>
                <w:rFonts w:ascii="Calibri" w:eastAsia="Times New Roman" w:hAnsi="Calibri" w:cs="Calibri"/>
                <w:color w:val="000000"/>
                <w:sz w:val="22"/>
                <w:szCs w:val="22"/>
                <w:lang w:val="en-AU"/>
              </w:rPr>
            </w:pPr>
            <w:r w:rsidRPr="00523A4F">
              <w:rPr>
                <w:rFonts w:ascii="Calibri" w:eastAsia="Times New Roman" w:hAnsi="Calibri" w:cs="Calibri"/>
                <w:color w:val="000000"/>
                <w:sz w:val="22"/>
                <w:szCs w:val="22"/>
                <w:lang w:val="en-AU"/>
              </w:rPr>
              <w:t> </w:t>
            </w:r>
          </w:p>
        </w:tc>
      </w:tr>
      <w:tr w:rsidR="00523A4F" w:rsidRPr="00523A4F" w14:paraId="079B5BAD" w14:textId="77777777" w:rsidTr="00420F6D">
        <w:trPr>
          <w:trHeight w:val="300"/>
        </w:trPr>
        <w:tc>
          <w:tcPr>
            <w:tcW w:w="4385" w:type="dxa"/>
            <w:shd w:val="clear" w:color="auto" w:fill="auto"/>
            <w:noWrap/>
            <w:vAlign w:val="center"/>
            <w:hideMark/>
          </w:tcPr>
          <w:p w14:paraId="466114C1" w14:textId="77777777" w:rsidR="00523A4F" w:rsidRPr="00523A4F" w:rsidRDefault="00523A4F" w:rsidP="00523A4F">
            <w:pPr>
              <w:jc w:val="left"/>
              <w:rPr>
                <w:rFonts w:ascii="Calibri" w:eastAsia="Times New Roman" w:hAnsi="Calibri" w:cs="Calibri"/>
                <w:color w:val="000000"/>
                <w:sz w:val="22"/>
                <w:szCs w:val="22"/>
                <w:lang w:val="en-AU"/>
              </w:rPr>
            </w:pPr>
            <w:r w:rsidRPr="00523A4F">
              <w:rPr>
                <w:rFonts w:ascii="Calibri" w:eastAsia="Times New Roman" w:hAnsi="Calibri" w:cs="Calibri"/>
                <w:color w:val="000000"/>
                <w:sz w:val="22"/>
                <w:szCs w:val="22"/>
                <w:lang w:val="en-AU"/>
              </w:rPr>
              <w:t>* Control channel (PDCCH) error rate is lower than PDSCH (more reliable)</w:t>
            </w:r>
          </w:p>
        </w:tc>
        <w:tc>
          <w:tcPr>
            <w:tcW w:w="5255" w:type="dxa"/>
            <w:shd w:val="clear" w:color="auto" w:fill="auto"/>
            <w:noWrap/>
            <w:vAlign w:val="center"/>
            <w:hideMark/>
          </w:tcPr>
          <w:p w14:paraId="156610B3" w14:textId="77777777" w:rsidR="00523A4F" w:rsidRPr="00523A4F" w:rsidRDefault="00523A4F" w:rsidP="00523A4F">
            <w:pPr>
              <w:jc w:val="left"/>
              <w:rPr>
                <w:rFonts w:ascii="Calibri" w:eastAsia="Times New Roman" w:hAnsi="Calibri" w:cs="Calibri"/>
                <w:color w:val="000000"/>
                <w:sz w:val="22"/>
                <w:szCs w:val="22"/>
                <w:lang w:val="en-AU"/>
              </w:rPr>
            </w:pPr>
            <w:r w:rsidRPr="00523A4F">
              <w:rPr>
                <w:rFonts w:ascii="Calibri" w:eastAsia="Times New Roman" w:hAnsi="Calibri" w:cs="Calibri"/>
                <w:color w:val="000000"/>
                <w:sz w:val="22"/>
                <w:szCs w:val="22"/>
                <w:lang w:val="en-AU"/>
              </w:rPr>
              <w:t> </w:t>
            </w:r>
          </w:p>
        </w:tc>
      </w:tr>
    </w:tbl>
    <w:p w14:paraId="02ABCCFA" w14:textId="634C1331" w:rsidR="00523A4F" w:rsidRDefault="00523A4F" w:rsidP="004A03BC">
      <w:pPr>
        <w:pStyle w:val="BodyText"/>
        <w:rPr>
          <w:sz w:val="20"/>
          <w:szCs w:val="20"/>
          <w:lang w:val="en-AU"/>
        </w:rPr>
      </w:pPr>
    </w:p>
    <w:p w14:paraId="788937A8" w14:textId="432927B6" w:rsidR="00420F6D" w:rsidRDefault="00420F6D" w:rsidP="004A03BC">
      <w:pPr>
        <w:pStyle w:val="BodyText"/>
        <w:rPr>
          <w:sz w:val="20"/>
          <w:szCs w:val="20"/>
          <w:lang w:val="en-AU"/>
        </w:rPr>
      </w:pPr>
    </w:p>
    <w:p w14:paraId="1B38681A" w14:textId="2EEE507B" w:rsidR="00420F6D" w:rsidRPr="00420F6D" w:rsidRDefault="00420F6D" w:rsidP="00420F6D">
      <w:pPr>
        <w:pStyle w:val="BodyText"/>
        <w:ind w:left="-426"/>
        <w:rPr>
          <w:b/>
          <w:color w:val="auto"/>
          <w:sz w:val="20"/>
          <w:szCs w:val="20"/>
          <w:u w:val="single"/>
        </w:rPr>
      </w:pPr>
      <w:r>
        <w:rPr>
          <w:b/>
          <w:color w:val="auto"/>
          <w:sz w:val="20"/>
          <w:szCs w:val="20"/>
          <w:u w:val="single"/>
        </w:rPr>
        <w:t>RRC</w:t>
      </w:r>
      <w:r w:rsidRPr="00420F6D">
        <w:rPr>
          <w:b/>
          <w:color w:val="auto"/>
          <w:sz w:val="20"/>
          <w:szCs w:val="20"/>
          <w:u w:val="single"/>
        </w:rPr>
        <w:t>-based activation / release</w:t>
      </w:r>
    </w:p>
    <w:p w14:paraId="1CE53860" w14:textId="20B08AC0" w:rsidR="00420F6D" w:rsidRDefault="00420F6D" w:rsidP="004A03BC">
      <w:pPr>
        <w:pStyle w:val="BodyText"/>
        <w:rPr>
          <w:sz w:val="20"/>
          <w:szCs w:val="20"/>
          <w:lang w:val="en-AU"/>
        </w:rPr>
      </w:pPr>
    </w:p>
    <w:tbl>
      <w:tblPr>
        <w:tblW w:w="9645" w:type="dxa"/>
        <w:tblInd w:w="-304" w:type="dxa"/>
        <w:tblLook w:val="04A0" w:firstRow="1" w:lastRow="0" w:firstColumn="1" w:lastColumn="0" w:noHBand="0" w:noVBand="1"/>
      </w:tblPr>
      <w:tblGrid>
        <w:gridCol w:w="4405"/>
        <w:gridCol w:w="5240"/>
      </w:tblGrid>
      <w:tr w:rsidR="00420F6D" w:rsidRPr="00420F6D" w14:paraId="2C7BFDD6" w14:textId="77777777" w:rsidTr="00420F6D">
        <w:trPr>
          <w:trHeight w:val="288"/>
        </w:trPr>
        <w:tc>
          <w:tcPr>
            <w:tcW w:w="440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EDFBFB5" w14:textId="77777777" w:rsidR="00420F6D" w:rsidRPr="00420F6D" w:rsidRDefault="00420F6D" w:rsidP="00420F6D">
            <w:pPr>
              <w:jc w:val="center"/>
              <w:rPr>
                <w:rFonts w:ascii="Calibri" w:eastAsia="Times New Roman" w:hAnsi="Calibri" w:cs="Calibri"/>
                <w:b/>
                <w:bCs/>
                <w:color w:val="000000"/>
                <w:sz w:val="22"/>
                <w:szCs w:val="22"/>
                <w:lang w:val="en-AU"/>
              </w:rPr>
            </w:pPr>
            <w:r w:rsidRPr="00420F6D">
              <w:rPr>
                <w:rFonts w:ascii="Calibri" w:eastAsia="Times New Roman" w:hAnsi="Calibri" w:cs="Calibri"/>
                <w:b/>
                <w:bCs/>
                <w:color w:val="000000"/>
                <w:sz w:val="22"/>
                <w:szCs w:val="22"/>
                <w:lang w:val="en-AU"/>
              </w:rPr>
              <w:t>Pros</w:t>
            </w:r>
          </w:p>
        </w:tc>
        <w:tc>
          <w:tcPr>
            <w:tcW w:w="5240" w:type="dxa"/>
            <w:tcBorders>
              <w:top w:val="single" w:sz="4" w:space="0" w:color="auto"/>
              <w:left w:val="nil"/>
              <w:bottom w:val="single" w:sz="4" w:space="0" w:color="auto"/>
              <w:right w:val="single" w:sz="8" w:space="0" w:color="auto"/>
            </w:tcBorders>
            <w:shd w:val="clear" w:color="auto" w:fill="auto"/>
            <w:noWrap/>
            <w:vAlign w:val="center"/>
            <w:hideMark/>
          </w:tcPr>
          <w:p w14:paraId="18CA85CE" w14:textId="77777777" w:rsidR="00420F6D" w:rsidRPr="00420F6D" w:rsidRDefault="00420F6D" w:rsidP="00420F6D">
            <w:pPr>
              <w:jc w:val="center"/>
              <w:rPr>
                <w:rFonts w:ascii="Calibri" w:eastAsia="Times New Roman" w:hAnsi="Calibri" w:cs="Calibri"/>
                <w:b/>
                <w:bCs/>
                <w:color w:val="000000"/>
                <w:sz w:val="22"/>
                <w:szCs w:val="22"/>
                <w:lang w:val="en-AU"/>
              </w:rPr>
            </w:pPr>
            <w:r w:rsidRPr="00420F6D">
              <w:rPr>
                <w:rFonts w:ascii="Calibri" w:eastAsia="Times New Roman" w:hAnsi="Calibri" w:cs="Calibri"/>
                <w:b/>
                <w:bCs/>
                <w:color w:val="000000"/>
                <w:sz w:val="22"/>
                <w:szCs w:val="22"/>
                <w:lang w:val="en-AU"/>
              </w:rPr>
              <w:t>Cons</w:t>
            </w:r>
          </w:p>
        </w:tc>
      </w:tr>
      <w:tr w:rsidR="00420F6D" w:rsidRPr="00420F6D" w14:paraId="28A613F2" w14:textId="77777777" w:rsidTr="00420F6D">
        <w:trPr>
          <w:trHeight w:val="864"/>
        </w:trPr>
        <w:tc>
          <w:tcPr>
            <w:tcW w:w="4405" w:type="dxa"/>
            <w:tcBorders>
              <w:top w:val="nil"/>
              <w:left w:val="single" w:sz="8" w:space="0" w:color="auto"/>
              <w:bottom w:val="single" w:sz="4" w:space="0" w:color="auto"/>
              <w:right w:val="single" w:sz="4" w:space="0" w:color="auto"/>
            </w:tcBorders>
            <w:shd w:val="clear" w:color="auto" w:fill="auto"/>
            <w:vAlign w:val="center"/>
            <w:hideMark/>
          </w:tcPr>
          <w:p w14:paraId="2BC5D7F4" w14:textId="77777777" w:rsidR="00420F6D" w:rsidRPr="00420F6D" w:rsidRDefault="00420F6D" w:rsidP="00420F6D">
            <w:pPr>
              <w:jc w:val="left"/>
              <w:rPr>
                <w:rFonts w:ascii="Calibri" w:eastAsia="Times New Roman" w:hAnsi="Calibri" w:cs="Calibri"/>
                <w:color w:val="000000"/>
                <w:sz w:val="22"/>
                <w:szCs w:val="22"/>
                <w:lang w:val="en-AU"/>
              </w:rPr>
            </w:pPr>
            <w:r w:rsidRPr="00420F6D">
              <w:rPr>
                <w:rFonts w:ascii="Calibri" w:eastAsia="Times New Roman" w:hAnsi="Calibri" w:cs="Calibri"/>
                <w:color w:val="000000"/>
                <w:sz w:val="22"/>
                <w:szCs w:val="22"/>
                <w:lang w:val="en-AU"/>
              </w:rPr>
              <w:t>* SPS initial activation at the same time as SPS configuration</w:t>
            </w:r>
            <w:r w:rsidRPr="00420F6D">
              <w:rPr>
                <w:rFonts w:ascii="Calibri" w:eastAsia="Times New Roman" w:hAnsi="Calibri" w:cs="Calibri"/>
                <w:color w:val="000000"/>
                <w:sz w:val="22"/>
                <w:szCs w:val="22"/>
                <w:lang w:val="en-AU"/>
              </w:rPr>
              <w:br/>
              <w:t>(skip DCI signalling, but latency saving of 1ms only)</w:t>
            </w:r>
          </w:p>
        </w:tc>
        <w:tc>
          <w:tcPr>
            <w:tcW w:w="5240" w:type="dxa"/>
            <w:tcBorders>
              <w:top w:val="nil"/>
              <w:left w:val="nil"/>
              <w:bottom w:val="single" w:sz="4" w:space="0" w:color="auto"/>
              <w:right w:val="single" w:sz="8" w:space="0" w:color="auto"/>
            </w:tcBorders>
            <w:shd w:val="clear" w:color="auto" w:fill="auto"/>
            <w:vAlign w:val="center"/>
            <w:hideMark/>
          </w:tcPr>
          <w:p w14:paraId="5FFA83FB" w14:textId="77777777" w:rsidR="00420F6D" w:rsidRPr="00420F6D" w:rsidRDefault="00420F6D" w:rsidP="00420F6D">
            <w:pPr>
              <w:jc w:val="left"/>
              <w:rPr>
                <w:rFonts w:ascii="Calibri" w:eastAsia="Times New Roman" w:hAnsi="Calibri" w:cs="Calibri"/>
                <w:color w:val="000000"/>
                <w:sz w:val="22"/>
                <w:szCs w:val="22"/>
                <w:lang w:val="en-AU"/>
              </w:rPr>
            </w:pPr>
            <w:r w:rsidRPr="00420F6D">
              <w:rPr>
                <w:rFonts w:ascii="Calibri" w:eastAsia="Times New Roman" w:hAnsi="Calibri" w:cs="Calibri"/>
                <w:color w:val="000000"/>
                <w:sz w:val="22"/>
                <w:szCs w:val="22"/>
                <w:lang w:val="en-AU"/>
              </w:rPr>
              <w:t>* Significant specification impacts in RAN1 and RAN2</w:t>
            </w:r>
            <w:r w:rsidRPr="00420F6D">
              <w:rPr>
                <w:rFonts w:ascii="Calibri" w:eastAsia="Times New Roman" w:hAnsi="Calibri" w:cs="Calibri"/>
                <w:color w:val="000000"/>
                <w:sz w:val="22"/>
                <w:szCs w:val="22"/>
                <w:lang w:val="en-AU"/>
              </w:rPr>
              <w:br/>
              <w:t>==&gt; leads to more standards effort and discussion time in RAN2, and also RAN1 spec editor's drafting for the new feature</w:t>
            </w:r>
          </w:p>
        </w:tc>
      </w:tr>
      <w:tr w:rsidR="00420F6D" w:rsidRPr="00420F6D" w14:paraId="37DEF1BD" w14:textId="77777777" w:rsidTr="00420F6D">
        <w:trPr>
          <w:trHeight w:val="1152"/>
        </w:trPr>
        <w:tc>
          <w:tcPr>
            <w:tcW w:w="4405" w:type="dxa"/>
            <w:tcBorders>
              <w:top w:val="nil"/>
              <w:left w:val="single" w:sz="8" w:space="0" w:color="auto"/>
              <w:bottom w:val="single" w:sz="4" w:space="0" w:color="auto"/>
              <w:right w:val="single" w:sz="4" w:space="0" w:color="auto"/>
            </w:tcBorders>
            <w:shd w:val="clear" w:color="auto" w:fill="auto"/>
            <w:vAlign w:val="center"/>
            <w:hideMark/>
          </w:tcPr>
          <w:p w14:paraId="0657E3A3" w14:textId="77777777" w:rsidR="00420F6D" w:rsidRPr="00420F6D" w:rsidRDefault="00420F6D" w:rsidP="00420F6D">
            <w:pPr>
              <w:jc w:val="left"/>
              <w:rPr>
                <w:rFonts w:ascii="Calibri" w:eastAsia="Times New Roman" w:hAnsi="Calibri" w:cs="Calibri"/>
                <w:color w:val="000000"/>
                <w:sz w:val="22"/>
                <w:szCs w:val="22"/>
                <w:lang w:val="en-AU"/>
              </w:rPr>
            </w:pPr>
            <w:r w:rsidRPr="00420F6D">
              <w:rPr>
                <w:rFonts w:ascii="Calibri" w:eastAsia="Times New Roman" w:hAnsi="Calibri" w:cs="Calibri"/>
                <w:color w:val="000000"/>
                <w:sz w:val="22"/>
                <w:szCs w:val="22"/>
                <w:lang w:val="en-AU"/>
              </w:rPr>
              <w:t>* No new DCI format on NR Uu to activate/release SPS on LTE V2X, no more RAN1 discussions needed</w:t>
            </w:r>
          </w:p>
        </w:tc>
        <w:tc>
          <w:tcPr>
            <w:tcW w:w="5240" w:type="dxa"/>
            <w:tcBorders>
              <w:top w:val="nil"/>
              <w:left w:val="nil"/>
              <w:bottom w:val="single" w:sz="4" w:space="0" w:color="auto"/>
              <w:right w:val="single" w:sz="8" w:space="0" w:color="auto"/>
            </w:tcBorders>
            <w:shd w:val="clear" w:color="auto" w:fill="auto"/>
            <w:vAlign w:val="center"/>
            <w:hideMark/>
          </w:tcPr>
          <w:p w14:paraId="74C4AAF2" w14:textId="77777777" w:rsidR="00420F6D" w:rsidRPr="00420F6D" w:rsidRDefault="00420F6D" w:rsidP="00420F6D">
            <w:pPr>
              <w:jc w:val="left"/>
              <w:rPr>
                <w:rFonts w:ascii="Calibri" w:eastAsia="Times New Roman" w:hAnsi="Calibri" w:cs="Calibri"/>
                <w:color w:val="000000"/>
                <w:sz w:val="22"/>
                <w:szCs w:val="22"/>
                <w:lang w:val="en-AU"/>
              </w:rPr>
            </w:pPr>
            <w:r w:rsidRPr="00420F6D">
              <w:rPr>
                <w:rFonts w:ascii="Calibri" w:eastAsia="Times New Roman" w:hAnsi="Calibri" w:cs="Calibri"/>
                <w:color w:val="000000"/>
                <w:sz w:val="22"/>
                <w:szCs w:val="22"/>
                <w:lang w:val="en-AU"/>
              </w:rPr>
              <w:t>* Retransmissions of PDSCH containing RRC configurations leads to delay in re-activation and release of SPS resources</w:t>
            </w:r>
            <w:r w:rsidRPr="00420F6D">
              <w:rPr>
                <w:rFonts w:ascii="Calibri" w:eastAsia="Times New Roman" w:hAnsi="Calibri" w:cs="Calibri"/>
                <w:color w:val="000000"/>
                <w:sz w:val="22"/>
                <w:szCs w:val="22"/>
                <w:lang w:val="en-AU"/>
              </w:rPr>
              <w:br/>
              <w:t xml:space="preserve">(total retransmissions may take </w:t>
            </w:r>
            <w:proofErr w:type="spellStart"/>
            <w:r w:rsidRPr="00420F6D">
              <w:rPr>
                <w:rFonts w:ascii="Calibri" w:eastAsia="Times New Roman" w:hAnsi="Calibri" w:cs="Calibri"/>
                <w:color w:val="000000"/>
                <w:sz w:val="22"/>
                <w:szCs w:val="22"/>
                <w:lang w:val="en-AU"/>
              </w:rPr>
              <w:t>upto</w:t>
            </w:r>
            <w:proofErr w:type="spellEnd"/>
            <w:r w:rsidRPr="00420F6D">
              <w:rPr>
                <w:rFonts w:ascii="Calibri" w:eastAsia="Times New Roman" w:hAnsi="Calibri" w:cs="Calibri"/>
                <w:color w:val="000000"/>
                <w:sz w:val="22"/>
                <w:szCs w:val="22"/>
                <w:lang w:val="en-AU"/>
              </w:rPr>
              <w:t xml:space="preserve"> 10's of </w:t>
            </w:r>
            <w:proofErr w:type="spellStart"/>
            <w:r w:rsidRPr="00420F6D">
              <w:rPr>
                <w:rFonts w:ascii="Calibri" w:eastAsia="Times New Roman" w:hAnsi="Calibri" w:cs="Calibri"/>
                <w:color w:val="000000"/>
                <w:sz w:val="22"/>
                <w:szCs w:val="22"/>
                <w:lang w:val="en-AU"/>
              </w:rPr>
              <w:t>ms</w:t>
            </w:r>
            <w:proofErr w:type="spellEnd"/>
            <w:r w:rsidRPr="00420F6D">
              <w:rPr>
                <w:rFonts w:ascii="Calibri" w:eastAsia="Times New Roman" w:hAnsi="Calibri" w:cs="Calibri"/>
                <w:color w:val="000000"/>
                <w:sz w:val="22"/>
                <w:szCs w:val="22"/>
                <w:lang w:val="en-AU"/>
              </w:rPr>
              <w:t>, and the shortest latency requirement in LTE-V2X is 20ms)</w:t>
            </w:r>
          </w:p>
        </w:tc>
      </w:tr>
      <w:tr w:rsidR="00420F6D" w:rsidRPr="00420F6D" w14:paraId="0A3AFD14" w14:textId="77777777" w:rsidTr="00420F6D">
        <w:trPr>
          <w:trHeight w:val="300"/>
        </w:trPr>
        <w:tc>
          <w:tcPr>
            <w:tcW w:w="4405" w:type="dxa"/>
            <w:tcBorders>
              <w:top w:val="nil"/>
              <w:left w:val="single" w:sz="8" w:space="0" w:color="auto"/>
              <w:bottom w:val="single" w:sz="8" w:space="0" w:color="auto"/>
              <w:right w:val="single" w:sz="4" w:space="0" w:color="auto"/>
            </w:tcBorders>
            <w:shd w:val="clear" w:color="auto" w:fill="auto"/>
            <w:noWrap/>
            <w:vAlign w:val="center"/>
            <w:hideMark/>
          </w:tcPr>
          <w:p w14:paraId="7EECA1D1" w14:textId="77777777" w:rsidR="00420F6D" w:rsidRPr="00420F6D" w:rsidRDefault="00420F6D" w:rsidP="00420F6D">
            <w:pPr>
              <w:jc w:val="left"/>
              <w:rPr>
                <w:rFonts w:ascii="Calibri" w:eastAsia="Times New Roman" w:hAnsi="Calibri" w:cs="Calibri"/>
                <w:color w:val="000000"/>
                <w:sz w:val="22"/>
                <w:szCs w:val="22"/>
                <w:lang w:val="en-AU"/>
              </w:rPr>
            </w:pPr>
            <w:r w:rsidRPr="00420F6D">
              <w:rPr>
                <w:rFonts w:ascii="Calibri" w:eastAsia="Times New Roman" w:hAnsi="Calibri" w:cs="Calibri"/>
                <w:color w:val="000000"/>
                <w:sz w:val="22"/>
                <w:szCs w:val="22"/>
                <w:lang w:val="en-AU"/>
              </w:rPr>
              <w:t>* Alignment of cross-RAT control in both directions (both RRC-based)</w:t>
            </w:r>
          </w:p>
        </w:tc>
        <w:tc>
          <w:tcPr>
            <w:tcW w:w="5240" w:type="dxa"/>
            <w:tcBorders>
              <w:top w:val="nil"/>
              <w:left w:val="nil"/>
              <w:bottom w:val="single" w:sz="8" w:space="0" w:color="auto"/>
              <w:right w:val="single" w:sz="8" w:space="0" w:color="auto"/>
            </w:tcBorders>
            <w:shd w:val="clear" w:color="auto" w:fill="auto"/>
            <w:noWrap/>
            <w:vAlign w:val="center"/>
            <w:hideMark/>
          </w:tcPr>
          <w:p w14:paraId="5708DE0A" w14:textId="77777777" w:rsidR="00420F6D" w:rsidRPr="00420F6D" w:rsidRDefault="00420F6D" w:rsidP="00420F6D">
            <w:pPr>
              <w:jc w:val="left"/>
              <w:rPr>
                <w:rFonts w:ascii="Calibri" w:eastAsia="Times New Roman" w:hAnsi="Calibri" w:cs="Calibri"/>
                <w:color w:val="000000"/>
                <w:sz w:val="22"/>
                <w:szCs w:val="22"/>
                <w:lang w:val="en-AU"/>
              </w:rPr>
            </w:pPr>
            <w:r w:rsidRPr="00420F6D">
              <w:rPr>
                <w:rFonts w:ascii="Calibri" w:eastAsia="Times New Roman" w:hAnsi="Calibri" w:cs="Calibri"/>
                <w:color w:val="000000"/>
                <w:sz w:val="22"/>
                <w:szCs w:val="22"/>
                <w:lang w:val="en-AU"/>
              </w:rPr>
              <w:t> </w:t>
            </w:r>
          </w:p>
        </w:tc>
      </w:tr>
    </w:tbl>
    <w:p w14:paraId="2FC7B35B" w14:textId="77777777" w:rsidR="00420F6D" w:rsidRPr="00523A4F" w:rsidRDefault="00420F6D" w:rsidP="004A03BC">
      <w:pPr>
        <w:pStyle w:val="BodyText"/>
        <w:rPr>
          <w:sz w:val="20"/>
          <w:szCs w:val="20"/>
          <w:lang w:val="en-AU"/>
        </w:rPr>
      </w:pPr>
    </w:p>
    <w:p w14:paraId="7689E663" w14:textId="23586944" w:rsidR="00AD1673" w:rsidRDefault="00AD1673" w:rsidP="004A03BC">
      <w:pPr>
        <w:pStyle w:val="BodyText"/>
        <w:rPr>
          <w:sz w:val="20"/>
          <w:szCs w:val="20"/>
        </w:rPr>
      </w:pPr>
    </w:p>
    <w:p w14:paraId="6A91B6A5" w14:textId="55C488CA" w:rsidR="00852251" w:rsidRPr="00420F6D" w:rsidRDefault="00AD1673" w:rsidP="00420F6D">
      <w:pPr>
        <w:pStyle w:val="BodyText"/>
        <w:rPr>
          <w:color w:val="auto"/>
          <w:sz w:val="20"/>
          <w:szCs w:val="20"/>
        </w:rPr>
      </w:pPr>
      <w:r w:rsidRPr="00523A4F">
        <w:rPr>
          <w:color w:val="auto"/>
          <w:sz w:val="20"/>
          <w:szCs w:val="20"/>
        </w:rPr>
        <w:t xml:space="preserve">Note that, </w:t>
      </w:r>
      <w:r w:rsidR="003E02C8" w:rsidRPr="00523A4F">
        <w:rPr>
          <w:color w:val="auto"/>
          <w:sz w:val="20"/>
          <w:szCs w:val="20"/>
        </w:rPr>
        <w:t xml:space="preserve">for the DCI-based method, the existing 4ms reception of activation/release command </w:t>
      </w:r>
      <w:r w:rsidR="00F445AF" w:rsidRPr="00523A4F">
        <w:rPr>
          <w:color w:val="auto"/>
          <w:sz w:val="20"/>
          <w:szCs w:val="20"/>
        </w:rPr>
        <w:t>in mode 3 should</w:t>
      </w:r>
      <w:r w:rsidR="003E02C8" w:rsidRPr="00523A4F">
        <w:rPr>
          <w:color w:val="auto"/>
          <w:sz w:val="20"/>
          <w:szCs w:val="20"/>
        </w:rPr>
        <w:t xml:space="preserve"> be counted from the </w:t>
      </w:r>
      <w:r w:rsidR="00F445AF" w:rsidRPr="00523A4F">
        <w:rPr>
          <w:color w:val="auto"/>
          <w:sz w:val="20"/>
          <w:szCs w:val="20"/>
        </w:rPr>
        <w:t xml:space="preserve">DCI </w:t>
      </w:r>
      <w:r w:rsidR="003E02C8" w:rsidRPr="00523A4F">
        <w:rPr>
          <w:color w:val="auto"/>
          <w:sz w:val="20"/>
          <w:szCs w:val="20"/>
        </w:rPr>
        <w:t xml:space="preserve">signalling input </w:t>
      </w:r>
      <w:r w:rsidR="00523A4F" w:rsidRPr="00523A4F">
        <w:rPr>
          <w:color w:val="auto"/>
          <w:sz w:val="20"/>
          <w:szCs w:val="20"/>
        </w:rPr>
        <w:t xml:space="preserve">timing </w:t>
      </w:r>
      <w:r w:rsidR="003A74CD">
        <w:rPr>
          <w:color w:val="auto"/>
          <w:sz w:val="20"/>
          <w:szCs w:val="20"/>
        </w:rPr>
        <w:t>at</w:t>
      </w:r>
      <w:r w:rsidR="003E02C8" w:rsidRPr="00523A4F">
        <w:rPr>
          <w:color w:val="auto"/>
          <w:sz w:val="20"/>
          <w:szCs w:val="20"/>
        </w:rPr>
        <w:t xml:space="preserve"> the LTE module</w:t>
      </w:r>
      <w:r w:rsidR="003A74CD">
        <w:rPr>
          <w:color w:val="auto"/>
          <w:sz w:val="20"/>
          <w:szCs w:val="20"/>
        </w:rPr>
        <w:t xml:space="preserve"> (port B in Figure 1)</w:t>
      </w:r>
      <w:r w:rsidR="00523A4F" w:rsidRPr="00523A4F">
        <w:rPr>
          <w:color w:val="auto"/>
          <w:sz w:val="20"/>
          <w:szCs w:val="20"/>
        </w:rPr>
        <w:t>, to account for UE processing time needed for the LTE module to react and encode message TB</w:t>
      </w:r>
      <w:r w:rsidR="00A40928">
        <w:rPr>
          <w:color w:val="auto"/>
          <w:sz w:val="20"/>
          <w:szCs w:val="20"/>
        </w:rPr>
        <w:t>s</w:t>
      </w:r>
      <w:r w:rsidR="00523A4F" w:rsidRPr="00523A4F">
        <w:rPr>
          <w:color w:val="auto"/>
          <w:sz w:val="20"/>
          <w:szCs w:val="20"/>
        </w:rPr>
        <w:t xml:space="preserve"> for transmission</w:t>
      </w:r>
      <w:r w:rsidR="003E02C8" w:rsidRPr="00523A4F">
        <w:rPr>
          <w:color w:val="auto"/>
          <w:sz w:val="20"/>
          <w:szCs w:val="20"/>
        </w:rPr>
        <w:t xml:space="preserve">. And </w:t>
      </w:r>
      <w:r w:rsidR="00523A4F" w:rsidRPr="00523A4F">
        <w:rPr>
          <w:color w:val="auto"/>
          <w:sz w:val="20"/>
          <w:szCs w:val="20"/>
        </w:rPr>
        <w:t>therefore</w:t>
      </w:r>
      <w:r w:rsidR="003E02C8" w:rsidRPr="00523A4F">
        <w:rPr>
          <w:color w:val="auto"/>
          <w:sz w:val="20"/>
          <w:szCs w:val="20"/>
        </w:rPr>
        <w:t xml:space="preserve">, </w:t>
      </w:r>
      <w:r w:rsidR="00523A4F" w:rsidRPr="00523A4F">
        <w:rPr>
          <w:color w:val="auto"/>
          <w:sz w:val="20"/>
          <w:szCs w:val="20"/>
        </w:rPr>
        <w:t xml:space="preserve">there would be </w:t>
      </w:r>
      <w:r w:rsidR="003E02C8" w:rsidRPr="00523A4F">
        <w:rPr>
          <w:color w:val="auto"/>
          <w:sz w:val="20"/>
          <w:szCs w:val="20"/>
        </w:rPr>
        <w:t xml:space="preserve">no impact to the </w:t>
      </w:r>
      <w:r w:rsidR="00523A4F" w:rsidRPr="00523A4F">
        <w:rPr>
          <w:color w:val="auto"/>
          <w:sz w:val="20"/>
          <w:szCs w:val="20"/>
        </w:rPr>
        <w:t xml:space="preserve">existing </w:t>
      </w:r>
      <w:r w:rsidR="003E02C8" w:rsidRPr="00523A4F">
        <w:rPr>
          <w:color w:val="auto"/>
          <w:sz w:val="20"/>
          <w:szCs w:val="20"/>
        </w:rPr>
        <w:t>mode 3 operation</w:t>
      </w:r>
      <w:r w:rsidR="00523A4F" w:rsidRPr="00523A4F">
        <w:rPr>
          <w:color w:val="auto"/>
          <w:sz w:val="20"/>
          <w:szCs w:val="20"/>
        </w:rPr>
        <w:t xml:space="preserve"> of SPS activation and release</w:t>
      </w:r>
      <w:r w:rsidR="003E02C8" w:rsidRPr="00523A4F">
        <w:rPr>
          <w:color w:val="auto"/>
          <w:sz w:val="20"/>
          <w:szCs w:val="20"/>
        </w:rPr>
        <w:t>.</w:t>
      </w:r>
    </w:p>
    <w:p w14:paraId="531505A3" w14:textId="77777777" w:rsidR="00EE40AD" w:rsidRPr="004A03BC" w:rsidRDefault="00EE40AD" w:rsidP="00EE40AD">
      <w:pPr>
        <w:rPr>
          <w:b/>
          <w:i/>
          <w:color w:val="000000" w:themeColor="text1"/>
          <w:sz w:val="20"/>
          <w:szCs w:val="20"/>
        </w:rPr>
      </w:pPr>
    </w:p>
    <w:p w14:paraId="448DFB92" w14:textId="5FA8ECF3" w:rsidR="002347E5" w:rsidRPr="00420F6D" w:rsidRDefault="002347E5" w:rsidP="00947BB5">
      <w:pPr>
        <w:spacing w:after="240"/>
        <w:rPr>
          <w:b/>
          <w:i/>
          <w:sz w:val="20"/>
          <w:szCs w:val="20"/>
        </w:rPr>
      </w:pPr>
      <w:r w:rsidRPr="00420F6D">
        <w:rPr>
          <w:b/>
          <w:i/>
          <w:sz w:val="20"/>
          <w:szCs w:val="20"/>
        </w:rPr>
        <w:t xml:space="preserve">Proposal </w:t>
      </w:r>
      <w:r w:rsidR="00EE40AD" w:rsidRPr="00420F6D">
        <w:rPr>
          <w:b/>
          <w:i/>
          <w:sz w:val="20"/>
          <w:szCs w:val="20"/>
        </w:rPr>
        <w:t>2</w:t>
      </w:r>
      <w:r w:rsidRPr="00420F6D">
        <w:rPr>
          <w:b/>
          <w:i/>
          <w:sz w:val="20"/>
          <w:szCs w:val="20"/>
        </w:rPr>
        <w:t xml:space="preserve">: </w:t>
      </w:r>
      <w:r w:rsidR="00420F6D" w:rsidRPr="00420F6D">
        <w:rPr>
          <w:b/>
          <w:i/>
          <w:sz w:val="20"/>
          <w:szCs w:val="20"/>
        </w:rPr>
        <w:t>It is proposed to use the above pros and cons analysis of DCI-based and RRC-based activation/release as the basis to decide which option to adopt.</w:t>
      </w:r>
    </w:p>
    <w:p w14:paraId="09F8C278" w14:textId="77777777" w:rsidR="004263F7" w:rsidRDefault="004263F7" w:rsidP="004263F7">
      <w:pPr>
        <w:keepNext/>
        <w:spacing w:after="240"/>
        <w:jc w:val="center"/>
      </w:pPr>
      <w:r w:rsidRPr="003A74CD">
        <w:rPr>
          <w:noProof/>
        </w:rPr>
        <w:drawing>
          <wp:inline distT="0" distB="0" distL="0" distR="0" wp14:anchorId="3C5D6D5A" wp14:editId="6738D981">
            <wp:extent cx="2995161" cy="25808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19877" cy="2602127"/>
                    </a:xfrm>
                    <a:prstGeom prst="rect">
                      <a:avLst/>
                    </a:prstGeom>
                    <a:noFill/>
                    <a:ln>
                      <a:noFill/>
                    </a:ln>
                  </pic:spPr>
                </pic:pic>
              </a:graphicData>
            </a:graphic>
          </wp:inline>
        </w:drawing>
      </w:r>
    </w:p>
    <w:p w14:paraId="274926AC" w14:textId="77777777" w:rsidR="004263F7" w:rsidRPr="009B1F2E" w:rsidRDefault="004263F7" w:rsidP="004263F7">
      <w:pPr>
        <w:pStyle w:val="Caption"/>
        <w:jc w:val="center"/>
        <w:rPr>
          <w:b/>
          <w:color w:val="000000" w:themeColor="text1"/>
          <w:sz w:val="20"/>
          <w:szCs w:val="20"/>
        </w:rPr>
      </w:pPr>
      <w:r w:rsidRPr="009B1F2E">
        <w:rPr>
          <w:b/>
          <w:color w:val="000000" w:themeColor="text1"/>
          <w:sz w:val="20"/>
        </w:rPr>
        <w:t xml:space="preserve">Figure </w:t>
      </w:r>
      <w:r w:rsidRPr="009B1F2E">
        <w:rPr>
          <w:b/>
          <w:color w:val="000000" w:themeColor="text1"/>
          <w:sz w:val="20"/>
        </w:rPr>
        <w:fldChar w:fldCharType="begin"/>
      </w:r>
      <w:r w:rsidRPr="009B1F2E">
        <w:rPr>
          <w:b/>
          <w:color w:val="000000" w:themeColor="text1"/>
          <w:sz w:val="20"/>
        </w:rPr>
        <w:instrText xml:space="preserve"> SEQ Figure \* ARABIC </w:instrText>
      </w:r>
      <w:r w:rsidRPr="009B1F2E">
        <w:rPr>
          <w:b/>
          <w:color w:val="000000" w:themeColor="text1"/>
          <w:sz w:val="20"/>
        </w:rPr>
        <w:fldChar w:fldCharType="separate"/>
      </w:r>
      <w:r w:rsidRPr="009B1F2E">
        <w:rPr>
          <w:b/>
          <w:noProof/>
          <w:color w:val="000000" w:themeColor="text1"/>
          <w:sz w:val="20"/>
        </w:rPr>
        <w:t>1</w:t>
      </w:r>
      <w:r w:rsidRPr="009B1F2E">
        <w:rPr>
          <w:b/>
          <w:color w:val="000000" w:themeColor="text1"/>
          <w:sz w:val="20"/>
        </w:rPr>
        <w:fldChar w:fldCharType="end"/>
      </w:r>
      <w:r w:rsidRPr="009B1F2E">
        <w:rPr>
          <w:b/>
          <w:color w:val="000000" w:themeColor="text1"/>
          <w:sz w:val="20"/>
        </w:rPr>
        <w:t xml:space="preserve">: </w:t>
      </w:r>
      <w:r>
        <w:rPr>
          <w:b/>
          <w:color w:val="000000" w:themeColor="text1"/>
          <w:sz w:val="20"/>
        </w:rPr>
        <w:t>S</w:t>
      </w:r>
      <w:r w:rsidRPr="004263F7">
        <w:rPr>
          <w:b/>
          <w:color w:val="000000" w:themeColor="text1"/>
          <w:sz w:val="20"/>
        </w:rPr>
        <w:t xml:space="preserve">ignalling flow from gNB to NR module in a UE </w:t>
      </w:r>
      <w:r>
        <w:rPr>
          <w:b/>
          <w:color w:val="000000" w:themeColor="text1"/>
          <w:sz w:val="20"/>
        </w:rPr>
        <w:t>passing the signalling content to the LTE module.</w:t>
      </w:r>
    </w:p>
    <w:p w14:paraId="145BA73C" w14:textId="3EFCFF70" w:rsidR="00570C83" w:rsidRPr="002010A4" w:rsidRDefault="003A74CD" w:rsidP="004263F7">
      <w:pPr>
        <w:spacing w:after="240"/>
        <w:rPr>
          <w:color w:val="000000" w:themeColor="text1"/>
          <w:sz w:val="20"/>
          <w:szCs w:val="20"/>
        </w:rPr>
      </w:pPr>
      <w:r w:rsidRPr="002010A4">
        <w:rPr>
          <w:color w:val="000000" w:themeColor="text1"/>
          <w:sz w:val="20"/>
          <w:szCs w:val="20"/>
        </w:rPr>
        <w:lastRenderedPageBreak/>
        <w:t>In Figure 1, a d</w:t>
      </w:r>
      <w:r w:rsidR="00570C83" w:rsidRPr="002010A4">
        <w:rPr>
          <w:color w:val="000000" w:themeColor="text1"/>
          <w:sz w:val="20"/>
          <w:szCs w:val="20"/>
        </w:rPr>
        <w:t>iagram showing signalling flow from</w:t>
      </w:r>
      <w:r w:rsidR="00322BBF" w:rsidRPr="002010A4">
        <w:rPr>
          <w:color w:val="000000" w:themeColor="text1"/>
          <w:sz w:val="20"/>
          <w:szCs w:val="20"/>
        </w:rPr>
        <w:t xml:space="preserve"> gNB</w:t>
      </w:r>
      <w:r w:rsidR="00570C83" w:rsidRPr="002010A4">
        <w:rPr>
          <w:color w:val="000000" w:themeColor="text1"/>
          <w:sz w:val="20"/>
          <w:szCs w:val="20"/>
        </w:rPr>
        <w:t xml:space="preserve"> to</w:t>
      </w:r>
      <w:r w:rsidR="00322BBF" w:rsidRPr="002010A4">
        <w:rPr>
          <w:color w:val="000000" w:themeColor="text1"/>
          <w:sz w:val="20"/>
          <w:szCs w:val="20"/>
        </w:rPr>
        <w:t xml:space="preserve"> </w:t>
      </w:r>
      <w:r w:rsidR="00570C83" w:rsidRPr="002010A4">
        <w:rPr>
          <w:color w:val="000000" w:themeColor="text1"/>
          <w:sz w:val="20"/>
          <w:szCs w:val="20"/>
        </w:rPr>
        <w:t xml:space="preserve">NR module </w:t>
      </w:r>
      <w:r w:rsidR="00322BBF" w:rsidRPr="002010A4">
        <w:rPr>
          <w:color w:val="000000" w:themeColor="text1"/>
          <w:sz w:val="20"/>
          <w:szCs w:val="20"/>
        </w:rPr>
        <w:t xml:space="preserve">in a UE </w:t>
      </w:r>
      <w:r w:rsidR="00570C83" w:rsidRPr="002010A4">
        <w:rPr>
          <w:color w:val="000000" w:themeColor="text1"/>
          <w:sz w:val="20"/>
          <w:szCs w:val="20"/>
        </w:rPr>
        <w:t xml:space="preserve">via NR Uu interface </w:t>
      </w:r>
      <w:r w:rsidR="004263F7" w:rsidRPr="002010A4">
        <w:rPr>
          <w:color w:val="000000" w:themeColor="text1"/>
          <w:sz w:val="20"/>
          <w:szCs w:val="20"/>
        </w:rPr>
        <w:t>(</w:t>
      </w:r>
      <w:r w:rsidR="00322BBF" w:rsidRPr="002010A4">
        <w:rPr>
          <w:color w:val="000000" w:themeColor="text1"/>
          <w:sz w:val="20"/>
          <w:szCs w:val="20"/>
        </w:rPr>
        <w:t>1-3</w:t>
      </w:r>
      <w:r w:rsidR="00570C83" w:rsidRPr="002010A4">
        <w:rPr>
          <w:color w:val="000000" w:themeColor="text1"/>
          <w:sz w:val="20"/>
          <w:szCs w:val="20"/>
        </w:rPr>
        <w:t xml:space="preserve"> symbols for PDCCH </w:t>
      </w:r>
      <w:r w:rsidR="006A51DC" w:rsidRPr="002010A4">
        <w:rPr>
          <w:color w:val="000000" w:themeColor="text1"/>
          <w:sz w:val="20"/>
          <w:szCs w:val="20"/>
        </w:rPr>
        <w:t>COR</w:t>
      </w:r>
      <w:r w:rsidR="00322BBF" w:rsidRPr="002010A4">
        <w:rPr>
          <w:color w:val="000000" w:themeColor="text1"/>
          <w:sz w:val="20"/>
          <w:szCs w:val="20"/>
        </w:rPr>
        <w:t>E</w:t>
      </w:r>
      <w:r w:rsidR="006A51DC" w:rsidRPr="002010A4">
        <w:rPr>
          <w:color w:val="000000" w:themeColor="text1"/>
          <w:sz w:val="20"/>
          <w:szCs w:val="20"/>
        </w:rPr>
        <w:t>SET</w:t>
      </w:r>
      <w:r w:rsidR="004263F7" w:rsidRPr="002010A4">
        <w:rPr>
          <w:color w:val="000000" w:themeColor="text1"/>
          <w:sz w:val="20"/>
          <w:szCs w:val="20"/>
        </w:rPr>
        <w:t xml:space="preserve"> for DCI-based and up to 10’s of </w:t>
      </w:r>
      <w:proofErr w:type="spellStart"/>
      <w:r w:rsidR="004263F7" w:rsidRPr="002010A4">
        <w:rPr>
          <w:color w:val="000000" w:themeColor="text1"/>
          <w:sz w:val="20"/>
          <w:szCs w:val="20"/>
        </w:rPr>
        <w:t>ms</w:t>
      </w:r>
      <w:proofErr w:type="spellEnd"/>
      <w:r w:rsidR="004263F7" w:rsidRPr="002010A4">
        <w:rPr>
          <w:color w:val="000000" w:themeColor="text1"/>
          <w:sz w:val="20"/>
          <w:szCs w:val="20"/>
        </w:rPr>
        <w:t xml:space="preserve"> for RRC-based message)</w:t>
      </w:r>
      <w:r w:rsidR="00570C83" w:rsidRPr="002010A4">
        <w:rPr>
          <w:color w:val="000000" w:themeColor="text1"/>
          <w:sz w:val="20"/>
          <w:szCs w:val="20"/>
        </w:rPr>
        <w:t>, pass</w:t>
      </w:r>
      <w:r w:rsidR="00322BBF" w:rsidRPr="002010A4">
        <w:rPr>
          <w:color w:val="000000" w:themeColor="text1"/>
          <w:sz w:val="20"/>
          <w:szCs w:val="20"/>
        </w:rPr>
        <w:t xml:space="preserve">ing </w:t>
      </w:r>
      <w:r w:rsidR="004263F7" w:rsidRPr="002010A4">
        <w:rPr>
          <w:color w:val="000000" w:themeColor="text1"/>
          <w:sz w:val="20"/>
          <w:szCs w:val="20"/>
        </w:rPr>
        <w:t xml:space="preserve">the </w:t>
      </w:r>
      <w:r w:rsidR="00322BBF" w:rsidRPr="002010A4">
        <w:rPr>
          <w:color w:val="000000" w:themeColor="text1"/>
          <w:sz w:val="20"/>
          <w:szCs w:val="20"/>
        </w:rPr>
        <w:t>signalling content</w:t>
      </w:r>
      <w:r w:rsidR="00570C83" w:rsidRPr="002010A4">
        <w:rPr>
          <w:color w:val="000000" w:themeColor="text1"/>
          <w:sz w:val="20"/>
          <w:szCs w:val="20"/>
        </w:rPr>
        <w:t xml:space="preserve"> from </w:t>
      </w:r>
      <w:r w:rsidR="00322BBF" w:rsidRPr="002010A4">
        <w:rPr>
          <w:color w:val="000000" w:themeColor="text1"/>
          <w:sz w:val="20"/>
          <w:szCs w:val="20"/>
        </w:rPr>
        <w:t xml:space="preserve">the </w:t>
      </w:r>
      <w:r w:rsidR="00570C83" w:rsidRPr="002010A4">
        <w:rPr>
          <w:color w:val="000000" w:themeColor="text1"/>
          <w:sz w:val="20"/>
          <w:szCs w:val="20"/>
        </w:rPr>
        <w:t>NR module to</w:t>
      </w:r>
      <w:r w:rsidR="004263F7" w:rsidRPr="002010A4">
        <w:rPr>
          <w:color w:val="000000" w:themeColor="text1"/>
          <w:sz w:val="20"/>
          <w:szCs w:val="20"/>
        </w:rPr>
        <w:t xml:space="preserve"> a UE internal</w:t>
      </w:r>
      <w:r w:rsidR="00570C83" w:rsidRPr="002010A4">
        <w:rPr>
          <w:color w:val="000000" w:themeColor="text1"/>
          <w:sz w:val="20"/>
          <w:szCs w:val="20"/>
        </w:rPr>
        <w:t xml:space="preserve"> LTE module via a proprietary interface (X </w:t>
      </w:r>
      <w:proofErr w:type="spellStart"/>
      <w:r w:rsidR="00570C83" w:rsidRPr="002010A4">
        <w:rPr>
          <w:color w:val="000000" w:themeColor="text1"/>
          <w:sz w:val="20"/>
          <w:szCs w:val="20"/>
        </w:rPr>
        <w:t>ms</w:t>
      </w:r>
      <w:proofErr w:type="spellEnd"/>
      <w:r w:rsidR="00570C83" w:rsidRPr="002010A4">
        <w:rPr>
          <w:color w:val="000000" w:themeColor="text1"/>
          <w:sz w:val="20"/>
          <w:szCs w:val="20"/>
        </w:rPr>
        <w:t xml:space="preserve">), then </w:t>
      </w:r>
      <w:r w:rsidR="004263F7" w:rsidRPr="002010A4">
        <w:rPr>
          <w:color w:val="000000" w:themeColor="text1"/>
          <w:sz w:val="20"/>
          <w:szCs w:val="20"/>
        </w:rPr>
        <w:t xml:space="preserve">a </w:t>
      </w:r>
      <w:r w:rsidR="00570C83" w:rsidRPr="002010A4">
        <w:rPr>
          <w:color w:val="000000" w:themeColor="text1"/>
          <w:sz w:val="20"/>
          <w:szCs w:val="20"/>
        </w:rPr>
        <w:t xml:space="preserve">4ms assumption of UE processing time for preparing and encoding </w:t>
      </w:r>
      <w:r w:rsidR="00322BBF" w:rsidRPr="002010A4">
        <w:rPr>
          <w:color w:val="000000" w:themeColor="text1"/>
          <w:sz w:val="20"/>
          <w:szCs w:val="20"/>
        </w:rPr>
        <w:t xml:space="preserve">LTE </w:t>
      </w:r>
      <w:r w:rsidR="00570C83" w:rsidRPr="002010A4">
        <w:rPr>
          <w:color w:val="000000" w:themeColor="text1"/>
          <w:sz w:val="20"/>
          <w:szCs w:val="20"/>
        </w:rPr>
        <w:t>message TB for transmission.</w:t>
      </w:r>
      <w:r w:rsidR="00322BBF" w:rsidRPr="002010A4">
        <w:rPr>
          <w:color w:val="000000" w:themeColor="text1"/>
          <w:sz w:val="20"/>
          <w:szCs w:val="20"/>
        </w:rPr>
        <w:t xml:space="preserve"> </w:t>
      </w:r>
      <w:r w:rsidR="004263F7" w:rsidRPr="002010A4">
        <w:rPr>
          <w:color w:val="000000" w:themeColor="text1"/>
          <w:sz w:val="20"/>
          <w:szCs w:val="20"/>
        </w:rPr>
        <w:t>This signalling flow would be the same for both DCI-based and RRC-based activation/release. However, their time taken to complete the whole process could be different as discussed previously. But i</w:t>
      </w:r>
      <w:r w:rsidR="00570C83" w:rsidRPr="002010A4">
        <w:rPr>
          <w:color w:val="000000" w:themeColor="text1"/>
          <w:sz w:val="20"/>
          <w:szCs w:val="20"/>
        </w:rPr>
        <w:t xml:space="preserve">n order for the gNB to schedule resources for a UE or </w:t>
      </w:r>
      <w:r w:rsidR="00622721" w:rsidRPr="002010A4">
        <w:rPr>
          <w:color w:val="000000" w:themeColor="text1"/>
          <w:sz w:val="20"/>
          <w:szCs w:val="20"/>
        </w:rPr>
        <w:t xml:space="preserve">determine an appropriate timing for SPS resource start time, the gNB should know </w:t>
      </w:r>
      <w:r w:rsidR="004263F7" w:rsidRPr="002010A4">
        <w:rPr>
          <w:color w:val="000000" w:themeColor="text1"/>
          <w:sz w:val="20"/>
          <w:szCs w:val="20"/>
        </w:rPr>
        <w:t xml:space="preserve">about the duration of </w:t>
      </w:r>
      <w:r w:rsidR="00622721" w:rsidRPr="002010A4">
        <w:rPr>
          <w:color w:val="000000" w:themeColor="text1"/>
          <w:sz w:val="20"/>
          <w:szCs w:val="20"/>
        </w:rPr>
        <w:t xml:space="preserve">this X </w:t>
      </w:r>
      <w:proofErr w:type="spellStart"/>
      <w:r w:rsidR="00622721" w:rsidRPr="002010A4">
        <w:rPr>
          <w:color w:val="000000" w:themeColor="text1"/>
          <w:sz w:val="20"/>
          <w:szCs w:val="20"/>
        </w:rPr>
        <w:t>ms</w:t>
      </w:r>
      <w:proofErr w:type="spellEnd"/>
      <w:r w:rsidR="00622721" w:rsidRPr="002010A4">
        <w:rPr>
          <w:color w:val="000000" w:themeColor="text1"/>
          <w:sz w:val="20"/>
          <w:szCs w:val="20"/>
        </w:rPr>
        <w:t xml:space="preserve">. Therefore, it is proposed UE should provide such information as </w:t>
      </w:r>
      <w:r w:rsidR="004263F7" w:rsidRPr="002010A4">
        <w:rPr>
          <w:color w:val="000000" w:themeColor="text1"/>
          <w:sz w:val="20"/>
          <w:szCs w:val="20"/>
        </w:rPr>
        <w:t xml:space="preserve">part of </w:t>
      </w:r>
      <w:r w:rsidR="00622721" w:rsidRPr="002010A4">
        <w:rPr>
          <w:color w:val="000000" w:themeColor="text1"/>
          <w:sz w:val="20"/>
          <w:szCs w:val="20"/>
        </w:rPr>
        <w:t>capability signalling to the gNB of minimum timeframe needed to exchange signalling from UE internal one RAT module to another RAT module, similar to UE reporting of K1 and K2 values for HARQ reporting and PUSCH preparation capabilities, respectively.</w:t>
      </w:r>
    </w:p>
    <w:p w14:paraId="61548D44" w14:textId="1585735A" w:rsidR="00FA5B50" w:rsidRPr="00A73D0D" w:rsidRDefault="00FA5B50" w:rsidP="00947BB5">
      <w:pPr>
        <w:spacing w:after="240"/>
        <w:rPr>
          <w:b/>
          <w:i/>
          <w:color w:val="000000" w:themeColor="text1"/>
          <w:sz w:val="20"/>
          <w:szCs w:val="20"/>
        </w:rPr>
      </w:pPr>
      <w:r w:rsidRPr="00A73D0D">
        <w:rPr>
          <w:b/>
          <w:i/>
          <w:color w:val="000000" w:themeColor="text1"/>
          <w:sz w:val="20"/>
          <w:szCs w:val="20"/>
        </w:rPr>
        <w:t xml:space="preserve">Proposal 3: Capability reporting to NR gNB of minimum timeframe needed (e.g. </w:t>
      </w:r>
      <w:r w:rsidR="002010A4">
        <w:rPr>
          <w:b/>
          <w:i/>
          <w:color w:val="000000" w:themeColor="text1"/>
          <w:sz w:val="20"/>
          <w:szCs w:val="20"/>
        </w:rPr>
        <w:t>X</w:t>
      </w:r>
      <w:r w:rsidRPr="00A73D0D">
        <w:rPr>
          <w:b/>
          <w:i/>
          <w:color w:val="000000" w:themeColor="text1"/>
          <w:sz w:val="20"/>
          <w:szCs w:val="20"/>
        </w:rPr>
        <w:t xml:space="preserve"> </w:t>
      </w:r>
      <w:proofErr w:type="spellStart"/>
      <w:r w:rsidRPr="00A73D0D">
        <w:rPr>
          <w:b/>
          <w:i/>
          <w:color w:val="000000" w:themeColor="text1"/>
          <w:sz w:val="20"/>
          <w:szCs w:val="20"/>
        </w:rPr>
        <w:t>ms</w:t>
      </w:r>
      <w:proofErr w:type="spellEnd"/>
      <w:r w:rsidRPr="00A73D0D">
        <w:rPr>
          <w:b/>
          <w:i/>
          <w:color w:val="000000" w:themeColor="text1"/>
          <w:sz w:val="20"/>
          <w:szCs w:val="20"/>
        </w:rPr>
        <w:t>) for signalling exchange from UE-internal NR module to the LTE module as part of UE capability signalling should be supported.</w:t>
      </w:r>
    </w:p>
    <w:p w14:paraId="3A91C9E1" w14:textId="3E6AC974" w:rsidR="00BC0557" w:rsidRPr="004A03BC" w:rsidRDefault="00BC0557" w:rsidP="00BC0557">
      <w:pPr>
        <w:spacing w:after="120"/>
        <w:rPr>
          <w:b/>
          <w:sz w:val="20"/>
          <w:szCs w:val="20"/>
        </w:rPr>
      </w:pPr>
      <w:r w:rsidRPr="004A03BC">
        <w:rPr>
          <w:b/>
          <w:sz w:val="20"/>
          <w:szCs w:val="20"/>
        </w:rPr>
        <w:t>3. Conclusion</w:t>
      </w:r>
    </w:p>
    <w:p w14:paraId="05FA8798" w14:textId="6E8A2DA9" w:rsidR="00BC0557" w:rsidRPr="009B1F2E" w:rsidRDefault="006F5CF2" w:rsidP="004A03BC">
      <w:pPr>
        <w:pStyle w:val="BodyText"/>
        <w:rPr>
          <w:iCs/>
          <w:color w:val="000000" w:themeColor="text1"/>
          <w:sz w:val="20"/>
          <w:szCs w:val="20"/>
        </w:rPr>
      </w:pPr>
      <w:r w:rsidRPr="009B1F2E">
        <w:rPr>
          <w:color w:val="000000" w:themeColor="text1"/>
          <w:sz w:val="20"/>
          <w:szCs w:val="20"/>
        </w:rPr>
        <w:t xml:space="preserve">In this contribution, we discussed </w:t>
      </w:r>
      <w:r w:rsidR="004A03BC" w:rsidRPr="009B1F2E">
        <w:rPr>
          <w:color w:val="000000" w:themeColor="text1"/>
          <w:sz w:val="20"/>
          <w:szCs w:val="20"/>
        </w:rPr>
        <w:t>and provided our views on</w:t>
      </w:r>
      <w:r w:rsidRPr="009B1F2E">
        <w:rPr>
          <w:color w:val="000000" w:themeColor="text1"/>
          <w:sz w:val="20"/>
          <w:szCs w:val="20"/>
        </w:rPr>
        <w:t xml:space="preserve"> </w:t>
      </w:r>
      <w:r w:rsidR="009B1F2E" w:rsidRPr="009B1F2E">
        <w:rPr>
          <w:color w:val="000000" w:themeColor="text1"/>
          <w:sz w:val="20"/>
        </w:rPr>
        <w:t>mechanisms to support NR Uu controlling LTE sidelink in both mode 4 and mode-3 like operations.</w:t>
      </w:r>
      <w:r w:rsidR="00005302" w:rsidRPr="009B1F2E">
        <w:rPr>
          <w:color w:val="000000" w:themeColor="text1"/>
          <w:sz w:val="20"/>
          <w:szCs w:val="20"/>
        </w:rPr>
        <w:t xml:space="preserve"> </w:t>
      </w:r>
      <w:r w:rsidR="00BC0557" w:rsidRPr="009B1F2E">
        <w:rPr>
          <w:iCs/>
          <w:color w:val="000000" w:themeColor="text1"/>
          <w:sz w:val="20"/>
          <w:szCs w:val="20"/>
        </w:rPr>
        <w:t xml:space="preserve">In summary, we </w:t>
      </w:r>
      <w:r w:rsidRPr="009B1F2E">
        <w:rPr>
          <w:iCs/>
          <w:color w:val="000000" w:themeColor="text1"/>
          <w:sz w:val="20"/>
          <w:szCs w:val="20"/>
        </w:rPr>
        <w:t>made</w:t>
      </w:r>
      <w:r w:rsidR="00BC0557" w:rsidRPr="009B1F2E">
        <w:rPr>
          <w:iCs/>
          <w:color w:val="000000" w:themeColor="text1"/>
          <w:sz w:val="20"/>
          <w:szCs w:val="20"/>
        </w:rPr>
        <w:t xml:space="preserve"> the following proposals:</w:t>
      </w:r>
    </w:p>
    <w:p w14:paraId="5A850248" w14:textId="3BB564E4" w:rsidR="008F22BA" w:rsidRPr="004A03BC" w:rsidRDefault="008F22BA" w:rsidP="00BC0557">
      <w:pPr>
        <w:rPr>
          <w:iCs/>
          <w:color w:val="000000" w:themeColor="text1"/>
          <w:sz w:val="20"/>
          <w:szCs w:val="20"/>
        </w:rPr>
      </w:pPr>
    </w:p>
    <w:p w14:paraId="06951F8C" w14:textId="77777777" w:rsidR="00FA5B50" w:rsidRPr="007E4754" w:rsidRDefault="00FA5B50" w:rsidP="00FA5B50">
      <w:pPr>
        <w:pStyle w:val="BodyText"/>
        <w:rPr>
          <w:b/>
          <w:i/>
          <w:color w:val="auto"/>
          <w:sz w:val="20"/>
          <w:szCs w:val="20"/>
        </w:rPr>
      </w:pPr>
      <w:r w:rsidRPr="007E4754">
        <w:rPr>
          <w:b/>
          <w:i/>
          <w:color w:val="auto"/>
          <w:sz w:val="20"/>
          <w:szCs w:val="20"/>
        </w:rPr>
        <w:t>Proposal 1: In order to support existing LTE sidelink operations in mode 4 in a same manner when under NR Uu control, it is proposed that both common NR RRC (e.g. via a new NR-</w:t>
      </w:r>
      <w:proofErr w:type="spellStart"/>
      <w:r w:rsidRPr="007E4754">
        <w:rPr>
          <w:b/>
          <w:i/>
          <w:color w:val="auto"/>
          <w:sz w:val="20"/>
          <w:szCs w:val="20"/>
        </w:rPr>
        <w:t>SIBx</w:t>
      </w:r>
      <w:proofErr w:type="spellEnd"/>
      <w:r w:rsidRPr="007E4754">
        <w:rPr>
          <w:b/>
          <w:i/>
          <w:color w:val="auto"/>
          <w:sz w:val="20"/>
          <w:szCs w:val="20"/>
        </w:rPr>
        <w:t>) and dedicated NR RRC signalling should be supported.</w:t>
      </w:r>
    </w:p>
    <w:p w14:paraId="21AB98CE" w14:textId="77777777" w:rsidR="00C5569D" w:rsidRPr="00005302" w:rsidRDefault="00C5569D" w:rsidP="00C5569D">
      <w:pPr>
        <w:rPr>
          <w:b/>
          <w:i/>
          <w:color w:val="FF0000"/>
          <w:sz w:val="20"/>
          <w:szCs w:val="20"/>
        </w:rPr>
      </w:pPr>
    </w:p>
    <w:p w14:paraId="03C3BB34" w14:textId="4E04F33A" w:rsidR="00D3245A" w:rsidRDefault="00D3245A" w:rsidP="00D3245A">
      <w:pPr>
        <w:spacing w:after="240"/>
        <w:rPr>
          <w:b/>
          <w:i/>
          <w:sz w:val="20"/>
          <w:szCs w:val="20"/>
        </w:rPr>
      </w:pPr>
      <w:r w:rsidRPr="00420F6D">
        <w:rPr>
          <w:b/>
          <w:i/>
          <w:sz w:val="20"/>
          <w:szCs w:val="20"/>
        </w:rPr>
        <w:t>Proposal 2: It is proposed to use the above pros and cons analysis of DCI-based and RRC-based activation/release as the basis to decide which option to adopt.</w:t>
      </w:r>
    </w:p>
    <w:p w14:paraId="06C8DFD4" w14:textId="633F75B8" w:rsidR="009B1F2E" w:rsidRPr="00420F6D" w:rsidRDefault="009B1F2E" w:rsidP="00D3245A">
      <w:pPr>
        <w:spacing w:after="240"/>
        <w:rPr>
          <w:b/>
          <w:i/>
          <w:sz w:val="20"/>
          <w:szCs w:val="20"/>
        </w:rPr>
      </w:pPr>
      <w:r w:rsidRPr="00A73D0D">
        <w:rPr>
          <w:b/>
          <w:i/>
          <w:color w:val="000000" w:themeColor="text1"/>
          <w:sz w:val="20"/>
          <w:szCs w:val="20"/>
        </w:rPr>
        <w:t xml:space="preserve">Proposal 3: Capability reporting to NR gNB of minimum timeframe needed (e.g. x </w:t>
      </w:r>
      <w:proofErr w:type="spellStart"/>
      <w:r w:rsidRPr="00A73D0D">
        <w:rPr>
          <w:b/>
          <w:i/>
          <w:color w:val="000000" w:themeColor="text1"/>
          <w:sz w:val="20"/>
          <w:szCs w:val="20"/>
        </w:rPr>
        <w:t>ms</w:t>
      </w:r>
      <w:proofErr w:type="spellEnd"/>
      <w:r w:rsidRPr="00A73D0D">
        <w:rPr>
          <w:b/>
          <w:i/>
          <w:color w:val="000000" w:themeColor="text1"/>
          <w:sz w:val="20"/>
          <w:szCs w:val="20"/>
        </w:rPr>
        <w:t>) for signalling exchange from UE-internal NR module to the LTE module as part of UE capability signalling should be supported.</w:t>
      </w:r>
    </w:p>
    <w:p w14:paraId="515C510F" w14:textId="77777777" w:rsidR="008F22BA" w:rsidRPr="004A03BC" w:rsidRDefault="008F22BA" w:rsidP="00BC0557">
      <w:pPr>
        <w:rPr>
          <w:sz w:val="20"/>
          <w:szCs w:val="20"/>
        </w:rPr>
      </w:pPr>
    </w:p>
    <w:p w14:paraId="37E830A0" w14:textId="77777777" w:rsidR="00BC0557" w:rsidRPr="004A03BC" w:rsidRDefault="00BC0557" w:rsidP="00BC0557">
      <w:pPr>
        <w:spacing w:after="120"/>
        <w:rPr>
          <w:b/>
          <w:sz w:val="20"/>
          <w:szCs w:val="20"/>
        </w:rPr>
      </w:pPr>
      <w:r w:rsidRPr="004A03BC">
        <w:rPr>
          <w:b/>
          <w:sz w:val="20"/>
          <w:szCs w:val="20"/>
        </w:rPr>
        <w:t>4. References</w:t>
      </w:r>
    </w:p>
    <w:p w14:paraId="4787E0DE" w14:textId="0516AA9C" w:rsidR="00005302" w:rsidRDefault="00005302" w:rsidP="00476B10">
      <w:pPr>
        <w:tabs>
          <w:tab w:val="left" w:pos="426"/>
        </w:tabs>
        <w:spacing w:after="60"/>
        <w:ind w:left="426" w:hanging="426"/>
        <w:rPr>
          <w:color w:val="000000" w:themeColor="text1"/>
          <w:sz w:val="20"/>
          <w:szCs w:val="20"/>
        </w:rPr>
      </w:pPr>
      <w:r>
        <w:rPr>
          <w:color w:val="000000" w:themeColor="text1"/>
          <w:sz w:val="20"/>
          <w:szCs w:val="20"/>
        </w:rPr>
        <w:t>[1]</w:t>
      </w:r>
      <w:r w:rsidR="00476B10">
        <w:rPr>
          <w:color w:val="000000" w:themeColor="text1"/>
          <w:sz w:val="20"/>
          <w:szCs w:val="20"/>
        </w:rPr>
        <w:tab/>
      </w:r>
      <w:r>
        <w:rPr>
          <w:color w:val="000000" w:themeColor="text1"/>
          <w:sz w:val="20"/>
          <w:szCs w:val="20"/>
        </w:rPr>
        <w:t>RP-190766 “</w:t>
      </w:r>
      <w:r w:rsidRPr="00005302">
        <w:rPr>
          <w:color w:val="000000" w:themeColor="text1"/>
          <w:sz w:val="20"/>
          <w:szCs w:val="20"/>
        </w:rPr>
        <w:t>New WID on 5G V2X with NR sidelink</w:t>
      </w:r>
      <w:r>
        <w:rPr>
          <w:color w:val="000000" w:themeColor="text1"/>
          <w:sz w:val="20"/>
          <w:szCs w:val="20"/>
        </w:rPr>
        <w:t>”, RAN#83, LG Electronics, Huawei</w:t>
      </w:r>
    </w:p>
    <w:p w14:paraId="1E2950F2" w14:textId="61007228" w:rsidR="00BC0557" w:rsidRPr="004A03BC" w:rsidRDefault="00BC0557" w:rsidP="00476B10">
      <w:pPr>
        <w:tabs>
          <w:tab w:val="left" w:pos="426"/>
        </w:tabs>
        <w:spacing w:after="60"/>
        <w:ind w:left="426" w:hanging="426"/>
        <w:rPr>
          <w:color w:val="000000" w:themeColor="text1"/>
          <w:sz w:val="20"/>
          <w:szCs w:val="20"/>
        </w:rPr>
      </w:pPr>
      <w:r w:rsidRPr="004A03BC">
        <w:rPr>
          <w:color w:val="000000" w:themeColor="text1"/>
          <w:sz w:val="20"/>
          <w:szCs w:val="20"/>
        </w:rPr>
        <w:t>[</w:t>
      </w:r>
      <w:r w:rsidR="00005302">
        <w:rPr>
          <w:color w:val="000000" w:themeColor="text1"/>
          <w:sz w:val="20"/>
          <w:szCs w:val="20"/>
        </w:rPr>
        <w:t>2</w:t>
      </w:r>
      <w:r w:rsidRPr="004A03BC">
        <w:rPr>
          <w:color w:val="000000" w:themeColor="text1"/>
          <w:sz w:val="20"/>
          <w:szCs w:val="20"/>
        </w:rPr>
        <w:t>]</w:t>
      </w:r>
      <w:r w:rsidR="00476B10">
        <w:rPr>
          <w:color w:val="000000" w:themeColor="text1"/>
          <w:sz w:val="20"/>
          <w:szCs w:val="20"/>
        </w:rPr>
        <w:tab/>
      </w:r>
      <w:r w:rsidR="007C0507" w:rsidRPr="004A03BC">
        <w:rPr>
          <w:color w:val="000000" w:themeColor="text1"/>
          <w:sz w:val="20"/>
          <w:szCs w:val="20"/>
        </w:rPr>
        <w:t>RAN1#</w:t>
      </w:r>
      <w:r w:rsidR="00005302">
        <w:rPr>
          <w:color w:val="000000" w:themeColor="text1"/>
          <w:sz w:val="20"/>
          <w:szCs w:val="20"/>
        </w:rPr>
        <w:t>96</w:t>
      </w:r>
      <w:r w:rsidR="007C0507" w:rsidRPr="004A03BC">
        <w:rPr>
          <w:color w:val="000000" w:themeColor="text1"/>
          <w:sz w:val="20"/>
          <w:szCs w:val="20"/>
        </w:rPr>
        <w:t xml:space="preserve"> Chairman’s notes (final version)</w:t>
      </w:r>
    </w:p>
    <w:sectPr w:rsidR="00BC0557" w:rsidRPr="004A03BC">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7C4DD" w14:textId="77777777" w:rsidR="009A7B87" w:rsidRDefault="009A7B87" w:rsidP="00511BDE">
      <w:r>
        <w:separator/>
      </w:r>
    </w:p>
  </w:endnote>
  <w:endnote w:type="continuationSeparator" w:id="0">
    <w:p w14:paraId="415038F7" w14:textId="77777777" w:rsidR="009A7B87" w:rsidRDefault="009A7B87"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01E98" w14:textId="77777777" w:rsidR="009A7B87" w:rsidRDefault="009A7B87" w:rsidP="00511BDE">
      <w:r>
        <w:separator/>
      </w:r>
    </w:p>
  </w:footnote>
  <w:footnote w:type="continuationSeparator" w:id="0">
    <w:p w14:paraId="43237EA3" w14:textId="77777777" w:rsidR="009A7B87" w:rsidRDefault="009A7B87"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A0310"/>
    <w:multiLevelType w:val="hybridMultilevel"/>
    <w:tmpl w:val="77A441CA"/>
    <w:lvl w:ilvl="0" w:tplc="5B50964E">
      <w:start w:val="1"/>
      <w:numFmt w:val="bullet"/>
      <w:lvlText w:val="•"/>
      <w:lvlJc w:val="left"/>
      <w:pPr>
        <w:tabs>
          <w:tab w:val="num" w:pos="720"/>
        </w:tabs>
        <w:ind w:left="720" w:hanging="360"/>
      </w:pPr>
      <w:rPr>
        <w:rFonts w:ascii="Arial" w:hAnsi="Arial" w:hint="default"/>
      </w:rPr>
    </w:lvl>
    <w:lvl w:ilvl="1" w:tplc="DBCE1D62" w:tentative="1">
      <w:start w:val="1"/>
      <w:numFmt w:val="bullet"/>
      <w:lvlText w:val="•"/>
      <w:lvlJc w:val="left"/>
      <w:pPr>
        <w:tabs>
          <w:tab w:val="num" w:pos="1440"/>
        </w:tabs>
        <w:ind w:left="1440" w:hanging="360"/>
      </w:pPr>
      <w:rPr>
        <w:rFonts w:ascii="Arial" w:hAnsi="Arial" w:hint="default"/>
      </w:rPr>
    </w:lvl>
    <w:lvl w:ilvl="2" w:tplc="7A162B22" w:tentative="1">
      <w:start w:val="1"/>
      <w:numFmt w:val="bullet"/>
      <w:lvlText w:val="•"/>
      <w:lvlJc w:val="left"/>
      <w:pPr>
        <w:tabs>
          <w:tab w:val="num" w:pos="2160"/>
        </w:tabs>
        <w:ind w:left="2160" w:hanging="360"/>
      </w:pPr>
      <w:rPr>
        <w:rFonts w:ascii="Arial" w:hAnsi="Arial" w:hint="default"/>
      </w:rPr>
    </w:lvl>
    <w:lvl w:ilvl="3" w:tplc="0A9440D8" w:tentative="1">
      <w:start w:val="1"/>
      <w:numFmt w:val="bullet"/>
      <w:lvlText w:val="•"/>
      <w:lvlJc w:val="left"/>
      <w:pPr>
        <w:tabs>
          <w:tab w:val="num" w:pos="2880"/>
        </w:tabs>
        <w:ind w:left="2880" w:hanging="360"/>
      </w:pPr>
      <w:rPr>
        <w:rFonts w:ascii="Arial" w:hAnsi="Arial" w:hint="default"/>
      </w:rPr>
    </w:lvl>
    <w:lvl w:ilvl="4" w:tplc="2340921A" w:tentative="1">
      <w:start w:val="1"/>
      <w:numFmt w:val="bullet"/>
      <w:lvlText w:val="•"/>
      <w:lvlJc w:val="left"/>
      <w:pPr>
        <w:tabs>
          <w:tab w:val="num" w:pos="3600"/>
        </w:tabs>
        <w:ind w:left="3600" w:hanging="360"/>
      </w:pPr>
      <w:rPr>
        <w:rFonts w:ascii="Arial" w:hAnsi="Arial" w:hint="default"/>
      </w:rPr>
    </w:lvl>
    <w:lvl w:ilvl="5" w:tplc="6346FEB8" w:tentative="1">
      <w:start w:val="1"/>
      <w:numFmt w:val="bullet"/>
      <w:lvlText w:val="•"/>
      <w:lvlJc w:val="left"/>
      <w:pPr>
        <w:tabs>
          <w:tab w:val="num" w:pos="4320"/>
        </w:tabs>
        <w:ind w:left="4320" w:hanging="360"/>
      </w:pPr>
      <w:rPr>
        <w:rFonts w:ascii="Arial" w:hAnsi="Arial" w:hint="default"/>
      </w:rPr>
    </w:lvl>
    <w:lvl w:ilvl="6" w:tplc="78CE0F34" w:tentative="1">
      <w:start w:val="1"/>
      <w:numFmt w:val="bullet"/>
      <w:lvlText w:val="•"/>
      <w:lvlJc w:val="left"/>
      <w:pPr>
        <w:tabs>
          <w:tab w:val="num" w:pos="5040"/>
        </w:tabs>
        <w:ind w:left="5040" w:hanging="360"/>
      </w:pPr>
      <w:rPr>
        <w:rFonts w:ascii="Arial" w:hAnsi="Arial" w:hint="default"/>
      </w:rPr>
    </w:lvl>
    <w:lvl w:ilvl="7" w:tplc="A71671B4" w:tentative="1">
      <w:start w:val="1"/>
      <w:numFmt w:val="bullet"/>
      <w:lvlText w:val="•"/>
      <w:lvlJc w:val="left"/>
      <w:pPr>
        <w:tabs>
          <w:tab w:val="num" w:pos="5760"/>
        </w:tabs>
        <w:ind w:left="5760" w:hanging="360"/>
      </w:pPr>
      <w:rPr>
        <w:rFonts w:ascii="Arial" w:hAnsi="Arial" w:hint="default"/>
      </w:rPr>
    </w:lvl>
    <w:lvl w:ilvl="8" w:tplc="710C35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0089B"/>
    <w:multiLevelType w:val="hybridMultilevel"/>
    <w:tmpl w:val="BC3E4972"/>
    <w:lvl w:ilvl="0" w:tplc="1DC8FC9A">
      <w:start w:val="1"/>
      <w:numFmt w:val="bullet"/>
      <w:lvlText w:val="•"/>
      <w:lvlJc w:val="left"/>
      <w:pPr>
        <w:tabs>
          <w:tab w:val="num" w:pos="720"/>
        </w:tabs>
        <w:ind w:left="720" w:hanging="360"/>
      </w:pPr>
      <w:rPr>
        <w:rFonts w:ascii="Arial" w:hAnsi="Arial" w:hint="default"/>
      </w:rPr>
    </w:lvl>
    <w:lvl w:ilvl="1" w:tplc="639E23F2">
      <w:start w:val="277"/>
      <w:numFmt w:val="bullet"/>
      <w:lvlText w:val="–"/>
      <w:lvlJc w:val="left"/>
      <w:pPr>
        <w:tabs>
          <w:tab w:val="num" w:pos="1440"/>
        </w:tabs>
        <w:ind w:left="1440" w:hanging="360"/>
      </w:pPr>
      <w:rPr>
        <w:rFonts w:ascii="Arial" w:hAnsi="Arial" w:hint="default"/>
      </w:rPr>
    </w:lvl>
    <w:lvl w:ilvl="2" w:tplc="705011BA">
      <w:start w:val="277"/>
      <w:numFmt w:val="bullet"/>
      <w:lvlText w:val="•"/>
      <w:lvlJc w:val="left"/>
      <w:pPr>
        <w:tabs>
          <w:tab w:val="num" w:pos="2160"/>
        </w:tabs>
        <w:ind w:left="2160" w:hanging="360"/>
      </w:pPr>
      <w:rPr>
        <w:rFonts w:ascii="Arial" w:hAnsi="Arial" w:hint="default"/>
      </w:rPr>
    </w:lvl>
    <w:lvl w:ilvl="3" w:tplc="768E9644" w:tentative="1">
      <w:start w:val="1"/>
      <w:numFmt w:val="bullet"/>
      <w:lvlText w:val="•"/>
      <w:lvlJc w:val="left"/>
      <w:pPr>
        <w:tabs>
          <w:tab w:val="num" w:pos="2880"/>
        </w:tabs>
        <w:ind w:left="2880" w:hanging="360"/>
      </w:pPr>
      <w:rPr>
        <w:rFonts w:ascii="Arial" w:hAnsi="Arial" w:hint="default"/>
      </w:rPr>
    </w:lvl>
    <w:lvl w:ilvl="4" w:tplc="24E00E02" w:tentative="1">
      <w:start w:val="1"/>
      <w:numFmt w:val="bullet"/>
      <w:lvlText w:val="•"/>
      <w:lvlJc w:val="left"/>
      <w:pPr>
        <w:tabs>
          <w:tab w:val="num" w:pos="3600"/>
        </w:tabs>
        <w:ind w:left="3600" w:hanging="360"/>
      </w:pPr>
      <w:rPr>
        <w:rFonts w:ascii="Arial" w:hAnsi="Arial" w:hint="default"/>
      </w:rPr>
    </w:lvl>
    <w:lvl w:ilvl="5" w:tplc="A934C666" w:tentative="1">
      <w:start w:val="1"/>
      <w:numFmt w:val="bullet"/>
      <w:lvlText w:val="•"/>
      <w:lvlJc w:val="left"/>
      <w:pPr>
        <w:tabs>
          <w:tab w:val="num" w:pos="4320"/>
        </w:tabs>
        <w:ind w:left="4320" w:hanging="360"/>
      </w:pPr>
      <w:rPr>
        <w:rFonts w:ascii="Arial" w:hAnsi="Arial" w:hint="default"/>
      </w:rPr>
    </w:lvl>
    <w:lvl w:ilvl="6" w:tplc="C4103972" w:tentative="1">
      <w:start w:val="1"/>
      <w:numFmt w:val="bullet"/>
      <w:lvlText w:val="•"/>
      <w:lvlJc w:val="left"/>
      <w:pPr>
        <w:tabs>
          <w:tab w:val="num" w:pos="5040"/>
        </w:tabs>
        <w:ind w:left="5040" w:hanging="360"/>
      </w:pPr>
      <w:rPr>
        <w:rFonts w:ascii="Arial" w:hAnsi="Arial" w:hint="default"/>
      </w:rPr>
    </w:lvl>
    <w:lvl w:ilvl="7" w:tplc="1E96B878" w:tentative="1">
      <w:start w:val="1"/>
      <w:numFmt w:val="bullet"/>
      <w:lvlText w:val="•"/>
      <w:lvlJc w:val="left"/>
      <w:pPr>
        <w:tabs>
          <w:tab w:val="num" w:pos="5760"/>
        </w:tabs>
        <w:ind w:left="5760" w:hanging="360"/>
      </w:pPr>
      <w:rPr>
        <w:rFonts w:ascii="Arial" w:hAnsi="Arial" w:hint="default"/>
      </w:rPr>
    </w:lvl>
    <w:lvl w:ilvl="8" w:tplc="72C6B2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9AB692C"/>
    <w:multiLevelType w:val="hybridMultilevel"/>
    <w:tmpl w:val="2264BCF2"/>
    <w:lvl w:ilvl="0" w:tplc="04090001">
      <w:start w:val="1"/>
      <w:numFmt w:val="bullet"/>
      <w:lvlText w:val=""/>
      <w:lvlJc w:val="left"/>
      <w:pPr>
        <w:ind w:left="720" w:hanging="360"/>
      </w:pPr>
      <w:rPr>
        <w:rFonts w:ascii="Symbol" w:hAnsi="Symbol" w:hint="default"/>
      </w:rPr>
    </w:lvl>
    <w:lvl w:ilvl="1" w:tplc="0C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A4362A"/>
    <w:multiLevelType w:val="hybridMultilevel"/>
    <w:tmpl w:val="792E53DC"/>
    <w:lvl w:ilvl="0" w:tplc="FB300E0E">
      <w:start w:val="2"/>
      <w:numFmt w:val="bullet"/>
      <w:lvlText w:val=""/>
      <w:lvlJc w:val="left"/>
      <w:pPr>
        <w:ind w:left="420" w:hanging="360"/>
      </w:pPr>
      <w:rPr>
        <w:rFonts w:ascii="Symbol" w:eastAsia="SimSun" w:hAnsi="Symbol" w:cs="Arial"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11"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CF6E70"/>
    <w:multiLevelType w:val="hybridMultilevel"/>
    <w:tmpl w:val="7090DE3C"/>
    <w:lvl w:ilvl="0" w:tplc="4D9857D8">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2"/>
  </w:num>
  <w:num w:numId="3">
    <w:abstractNumId w:val="11"/>
  </w:num>
  <w:num w:numId="4">
    <w:abstractNumId w:val="7"/>
  </w:num>
  <w:num w:numId="5">
    <w:abstractNumId w:val="2"/>
  </w:num>
  <w:num w:numId="6">
    <w:abstractNumId w:val="7"/>
  </w:num>
  <w:num w:numId="7">
    <w:abstractNumId w:val="7"/>
  </w:num>
  <w:num w:numId="8">
    <w:abstractNumId w:val="7"/>
  </w:num>
  <w:num w:numId="9">
    <w:abstractNumId w:val="7"/>
  </w:num>
  <w:num w:numId="10">
    <w:abstractNumId w:val="10"/>
  </w:num>
  <w:num w:numId="11">
    <w:abstractNumId w:val="13"/>
  </w:num>
  <w:num w:numId="12">
    <w:abstractNumId w:val="0"/>
  </w:num>
  <w:num w:numId="13">
    <w:abstractNumId w:val="1"/>
  </w:num>
  <w:num w:numId="14">
    <w:abstractNumId w:val="8"/>
  </w:num>
  <w:num w:numId="15">
    <w:abstractNumId w:val="9"/>
  </w:num>
  <w:num w:numId="16">
    <w:abstractNumId w:val="6"/>
  </w:num>
  <w:num w:numId="17">
    <w:abstractNumId w:val="4"/>
  </w:num>
  <w:num w:numId="18">
    <w:abstractNumId w:val="14"/>
  </w:num>
  <w:num w:numId="19">
    <w:abstractNumId w:val="15"/>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5302"/>
    <w:rsid w:val="00006EB6"/>
    <w:rsid w:val="00015C61"/>
    <w:rsid w:val="00023304"/>
    <w:rsid w:val="0002538A"/>
    <w:rsid w:val="00036438"/>
    <w:rsid w:val="000416C0"/>
    <w:rsid w:val="00046E6C"/>
    <w:rsid w:val="000646BE"/>
    <w:rsid w:val="000824A2"/>
    <w:rsid w:val="00096409"/>
    <w:rsid w:val="000A7BDE"/>
    <w:rsid w:val="000E23FD"/>
    <w:rsid w:val="000F4718"/>
    <w:rsid w:val="001110C2"/>
    <w:rsid w:val="0011674C"/>
    <w:rsid w:val="00122C28"/>
    <w:rsid w:val="001234F4"/>
    <w:rsid w:val="00160871"/>
    <w:rsid w:val="00172616"/>
    <w:rsid w:val="00183059"/>
    <w:rsid w:val="0018639A"/>
    <w:rsid w:val="001C4931"/>
    <w:rsid w:val="001C4A2A"/>
    <w:rsid w:val="001D6275"/>
    <w:rsid w:val="001E6977"/>
    <w:rsid w:val="002010A4"/>
    <w:rsid w:val="00227A56"/>
    <w:rsid w:val="002347E5"/>
    <w:rsid w:val="002512F3"/>
    <w:rsid w:val="00282ADD"/>
    <w:rsid w:val="00290D60"/>
    <w:rsid w:val="00290F4A"/>
    <w:rsid w:val="0029653E"/>
    <w:rsid w:val="002A09BD"/>
    <w:rsid w:val="002A4183"/>
    <w:rsid w:val="002A6143"/>
    <w:rsid w:val="002D117C"/>
    <w:rsid w:val="002F480D"/>
    <w:rsid w:val="00311E4D"/>
    <w:rsid w:val="0031286C"/>
    <w:rsid w:val="00316B82"/>
    <w:rsid w:val="00322BBF"/>
    <w:rsid w:val="00327432"/>
    <w:rsid w:val="00390468"/>
    <w:rsid w:val="00395A18"/>
    <w:rsid w:val="003A1784"/>
    <w:rsid w:val="003A4353"/>
    <w:rsid w:val="003A74CD"/>
    <w:rsid w:val="003C70F9"/>
    <w:rsid w:val="003D669A"/>
    <w:rsid w:val="003E02C8"/>
    <w:rsid w:val="003F01D2"/>
    <w:rsid w:val="00420F6D"/>
    <w:rsid w:val="004263F7"/>
    <w:rsid w:val="00437571"/>
    <w:rsid w:val="00443FFF"/>
    <w:rsid w:val="00446597"/>
    <w:rsid w:val="00472914"/>
    <w:rsid w:val="00472CC7"/>
    <w:rsid w:val="00476B10"/>
    <w:rsid w:val="004919B6"/>
    <w:rsid w:val="004A03BC"/>
    <w:rsid w:val="004B2974"/>
    <w:rsid w:val="004E7C9C"/>
    <w:rsid w:val="004F16DA"/>
    <w:rsid w:val="004F35D2"/>
    <w:rsid w:val="0051049B"/>
    <w:rsid w:val="00511BDE"/>
    <w:rsid w:val="00523A4F"/>
    <w:rsid w:val="00536FA5"/>
    <w:rsid w:val="00553532"/>
    <w:rsid w:val="005601BB"/>
    <w:rsid w:val="00561A1F"/>
    <w:rsid w:val="00563CA3"/>
    <w:rsid w:val="00570C83"/>
    <w:rsid w:val="0058130A"/>
    <w:rsid w:val="00594422"/>
    <w:rsid w:val="005A2293"/>
    <w:rsid w:val="005A3678"/>
    <w:rsid w:val="005B2729"/>
    <w:rsid w:val="005B5979"/>
    <w:rsid w:val="005C7D1E"/>
    <w:rsid w:val="005D1637"/>
    <w:rsid w:val="005E3141"/>
    <w:rsid w:val="00622721"/>
    <w:rsid w:val="006251B5"/>
    <w:rsid w:val="00631E16"/>
    <w:rsid w:val="006432B0"/>
    <w:rsid w:val="00655F5A"/>
    <w:rsid w:val="006749EC"/>
    <w:rsid w:val="00686047"/>
    <w:rsid w:val="006A51DC"/>
    <w:rsid w:val="006D4CD1"/>
    <w:rsid w:val="006E0CEC"/>
    <w:rsid w:val="006E1142"/>
    <w:rsid w:val="006F5CF2"/>
    <w:rsid w:val="007069E1"/>
    <w:rsid w:val="00723C4C"/>
    <w:rsid w:val="00756A23"/>
    <w:rsid w:val="00797939"/>
    <w:rsid w:val="007A15B3"/>
    <w:rsid w:val="007A430C"/>
    <w:rsid w:val="007A787E"/>
    <w:rsid w:val="007B0977"/>
    <w:rsid w:val="007C0507"/>
    <w:rsid w:val="007D6B9A"/>
    <w:rsid w:val="007E4754"/>
    <w:rsid w:val="00842B4E"/>
    <w:rsid w:val="008466AB"/>
    <w:rsid w:val="00852251"/>
    <w:rsid w:val="008542F0"/>
    <w:rsid w:val="0086661D"/>
    <w:rsid w:val="0086720B"/>
    <w:rsid w:val="00867E6A"/>
    <w:rsid w:val="0087257C"/>
    <w:rsid w:val="00873221"/>
    <w:rsid w:val="008A335B"/>
    <w:rsid w:val="008A5454"/>
    <w:rsid w:val="008B7BA5"/>
    <w:rsid w:val="008C041D"/>
    <w:rsid w:val="008C3113"/>
    <w:rsid w:val="008E12E9"/>
    <w:rsid w:val="008F22BA"/>
    <w:rsid w:val="00923CFE"/>
    <w:rsid w:val="00932048"/>
    <w:rsid w:val="009452C1"/>
    <w:rsid w:val="00947377"/>
    <w:rsid w:val="00947BB5"/>
    <w:rsid w:val="00980EE0"/>
    <w:rsid w:val="009962B2"/>
    <w:rsid w:val="009A2560"/>
    <w:rsid w:val="009A7B87"/>
    <w:rsid w:val="009B1F2E"/>
    <w:rsid w:val="009B3062"/>
    <w:rsid w:val="009C3461"/>
    <w:rsid w:val="009C5678"/>
    <w:rsid w:val="009C79F1"/>
    <w:rsid w:val="009D1E50"/>
    <w:rsid w:val="009D7E42"/>
    <w:rsid w:val="009F1A8D"/>
    <w:rsid w:val="009F3F8F"/>
    <w:rsid w:val="00A028D8"/>
    <w:rsid w:val="00A03E4B"/>
    <w:rsid w:val="00A34419"/>
    <w:rsid w:val="00A37703"/>
    <w:rsid w:val="00A40928"/>
    <w:rsid w:val="00A559E1"/>
    <w:rsid w:val="00A71DA6"/>
    <w:rsid w:val="00A73D0D"/>
    <w:rsid w:val="00A76D8F"/>
    <w:rsid w:val="00A82BB2"/>
    <w:rsid w:val="00A8338A"/>
    <w:rsid w:val="00A956A2"/>
    <w:rsid w:val="00AB022F"/>
    <w:rsid w:val="00AC2ABF"/>
    <w:rsid w:val="00AC3DEB"/>
    <w:rsid w:val="00AC5E18"/>
    <w:rsid w:val="00AD1673"/>
    <w:rsid w:val="00AE3D30"/>
    <w:rsid w:val="00AF683C"/>
    <w:rsid w:val="00B04603"/>
    <w:rsid w:val="00B066C3"/>
    <w:rsid w:val="00B076E7"/>
    <w:rsid w:val="00B22099"/>
    <w:rsid w:val="00B23EA2"/>
    <w:rsid w:val="00B30E14"/>
    <w:rsid w:val="00B4302D"/>
    <w:rsid w:val="00B50FA5"/>
    <w:rsid w:val="00B516E2"/>
    <w:rsid w:val="00B63125"/>
    <w:rsid w:val="00B65B55"/>
    <w:rsid w:val="00B72B9C"/>
    <w:rsid w:val="00B94420"/>
    <w:rsid w:val="00BB1780"/>
    <w:rsid w:val="00BC0557"/>
    <w:rsid w:val="00BD6D85"/>
    <w:rsid w:val="00BE2A3B"/>
    <w:rsid w:val="00BE4DC5"/>
    <w:rsid w:val="00C144FC"/>
    <w:rsid w:val="00C305C2"/>
    <w:rsid w:val="00C31FF2"/>
    <w:rsid w:val="00C352D1"/>
    <w:rsid w:val="00C51B72"/>
    <w:rsid w:val="00C5569D"/>
    <w:rsid w:val="00C65F81"/>
    <w:rsid w:val="00CA0AA3"/>
    <w:rsid w:val="00CB2B91"/>
    <w:rsid w:val="00CD7525"/>
    <w:rsid w:val="00D12DF2"/>
    <w:rsid w:val="00D1518D"/>
    <w:rsid w:val="00D22BB4"/>
    <w:rsid w:val="00D3245A"/>
    <w:rsid w:val="00D34D2E"/>
    <w:rsid w:val="00D435E6"/>
    <w:rsid w:val="00D715A7"/>
    <w:rsid w:val="00D71A65"/>
    <w:rsid w:val="00D71B94"/>
    <w:rsid w:val="00DA4FAB"/>
    <w:rsid w:val="00DA5222"/>
    <w:rsid w:val="00DC1F83"/>
    <w:rsid w:val="00DD2240"/>
    <w:rsid w:val="00DE68C9"/>
    <w:rsid w:val="00E118B0"/>
    <w:rsid w:val="00E15ABB"/>
    <w:rsid w:val="00E23402"/>
    <w:rsid w:val="00E61E35"/>
    <w:rsid w:val="00E64289"/>
    <w:rsid w:val="00E926B4"/>
    <w:rsid w:val="00E96E5D"/>
    <w:rsid w:val="00EB013E"/>
    <w:rsid w:val="00ED5069"/>
    <w:rsid w:val="00EE3CC6"/>
    <w:rsid w:val="00EE40AD"/>
    <w:rsid w:val="00F04F5B"/>
    <w:rsid w:val="00F10BED"/>
    <w:rsid w:val="00F20722"/>
    <w:rsid w:val="00F43AB1"/>
    <w:rsid w:val="00F445AF"/>
    <w:rsid w:val="00F52ACA"/>
    <w:rsid w:val="00F5580C"/>
    <w:rsid w:val="00F55ABB"/>
    <w:rsid w:val="00F743E3"/>
    <w:rsid w:val="00F74466"/>
    <w:rsid w:val="00F92EC0"/>
    <w:rsid w:val="00FA0D39"/>
    <w:rsid w:val="00FA5B50"/>
    <w:rsid w:val="00FB6004"/>
    <w:rsid w:val="00FD1C3C"/>
    <w:rsid w:val="00FF2F6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E96E5D"/>
    <w:pPr>
      <w:widowControl w:val="0"/>
      <w:numPr>
        <w:numId w:val="4"/>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4"/>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E96E5D"/>
    <w:pPr>
      <w:numPr>
        <w:ilvl w:val="3"/>
      </w:numPr>
      <w:outlineLvl w:val="3"/>
    </w:pPr>
    <w:rPr>
      <w:i/>
    </w:rPr>
  </w:style>
  <w:style w:type="paragraph" w:styleId="Heading5">
    <w:name w:val="heading 5"/>
    <w:basedOn w:val="Heading4"/>
    <w:next w:val="Normal"/>
    <w:link w:val="Heading5Char"/>
    <w:uiPriority w:val="9"/>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E96E5D"/>
    <w:pPr>
      <w:numPr>
        <w:ilvl w:val="5"/>
        <w:numId w:val="4"/>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E96E5D"/>
    <w:pPr>
      <w:numPr>
        <w:ilvl w:val="6"/>
        <w:numId w:val="4"/>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E96E5D"/>
    <w:pPr>
      <w:numPr>
        <w:ilvl w:val="7"/>
        <w:numId w:val="4"/>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E96E5D"/>
    <w:pPr>
      <w:numPr>
        <w:ilvl w:val="8"/>
        <w:numId w:val="4"/>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F43AB1"/>
    <w:rPr>
      <w:rFonts w:ascii="Times" w:eastAsia="Batang" w:hAnsi="Times" w:cs="Times New Roman"/>
      <w:sz w:val="20"/>
      <w:szCs w:val="24"/>
      <w:lang w:val="en-GB" w:eastAsia="x-none"/>
    </w:rPr>
  </w:style>
  <w:style w:type="paragraph" w:styleId="Caption">
    <w:name w:val="caption"/>
    <w:basedOn w:val="Normal"/>
    <w:next w:val="Normal"/>
    <w:uiPriority w:val="35"/>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9B1F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F2E"/>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050655">
      <w:bodyDiv w:val="1"/>
      <w:marLeft w:val="0"/>
      <w:marRight w:val="0"/>
      <w:marTop w:val="0"/>
      <w:marBottom w:val="0"/>
      <w:divBdr>
        <w:top w:val="none" w:sz="0" w:space="0" w:color="auto"/>
        <w:left w:val="none" w:sz="0" w:space="0" w:color="auto"/>
        <w:bottom w:val="none" w:sz="0" w:space="0" w:color="auto"/>
        <w:right w:val="none" w:sz="0" w:space="0" w:color="auto"/>
      </w:divBdr>
      <w:divsChild>
        <w:div w:id="152376768">
          <w:marLeft w:val="274"/>
          <w:marRight w:val="0"/>
          <w:marTop w:val="0"/>
          <w:marBottom w:val="0"/>
          <w:divBdr>
            <w:top w:val="none" w:sz="0" w:space="0" w:color="auto"/>
            <w:left w:val="none" w:sz="0" w:space="0" w:color="auto"/>
            <w:bottom w:val="none" w:sz="0" w:space="0" w:color="auto"/>
            <w:right w:val="none" w:sz="0" w:space="0" w:color="auto"/>
          </w:divBdr>
        </w:div>
        <w:div w:id="1599171445">
          <w:marLeft w:val="274"/>
          <w:marRight w:val="0"/>
          <w:marTop w:val="0"/>
          <w:marBottom w:val="0"/>
          <w:divBdr>
            <w:top w:val="none" w:sz="0" w:space="0" w:color="auto"/>
            <w:left w:val="none" w:sz="0" w:space="0" w:color="auto"/>
            <w:bottom w:val="none" w:sz="0" w:space="0" w:color="auto"/>
            <w:right w:val="none" w:sz="0" w:space="0" w:color="auto"/>
          </w:divBdr>
        </w:div>
        <w:div w:id="1979989584">
          <w:marLeft w:val="274"/>
          <w:marRight w:val="0"/>
          <w:marTop w:val="0"/>
          <w:marBottom w:val="0"/>
          <w:divBdr>
            <w:top w:val="none" w:sz="0" w:space="0" w:color="auto"/>
            <w:left w:val="none" w:sz="0" w:space="0" w:color="auto"/>
            <w:bottom w:val="none" w:sz="0" w:space="0" w:color="auto"/>
            <w:right w:val="none" w:sz="0" w:space="0" w:color="auto"/>
          </w:divBdr>
        </w:div>
      </w:divsChild>
    </w:div>
    <w:div w:id="934359843">
      <w:bodyDiv w:val="1"/>
      <w:marLeft w:val="0"/>
      <w:marRight w:val="0"/>
      <w:marTop w:val="0"/>
      <w:marBottom w:val="0"/>
      <w:divBdr>
        <w:top w:val="none" w:sz="0" w:space="0" w:color="auto"/>
        <w:left w:val="none" w:sz="0" w:space="0" w:color="auto"/>
        <w:bottom w:val="none" w:sz="0" w:space="0" w:color="auto"/>
        <w:right w:val="none" w:sz="0" w:space="0" w:color="auto"/>
      </w:divBdr>
    </w:div>
    <w:div w:id="1041856050">
      <w:bodyDiv w:val="1"/>
      <w:marLeft w:val="0"/>
      <w:marRight w:val="0"/>
      <w:marTop w:val="0"/>
      <w:marBottom w:val="0"/>
      <w:divBdr>
        <w:top w:val="none" w:sz="0" w:space="0" w:color="auto"/>
        <w:left w:val="none" w:sz="0" w:space="0" w:color="auto"/>
        <w:bottom w:val="none" w:sz="0" w:space="0" w:color="auto"/>
        <w:right w:val="none" w:sz="0" w:space="0" w:color="auto"/>
      </w:divBdr>
    </w:div>
    <w:div w:id="1796100488">
      <w:bodyDiv w:val="1"/>
      <w:marLeft w:val="0"/>
      <w:marRight w:val="0"/>
      <w:marTop w:val="0"/>
      <w:marBottom w:val="0"/>
      <w:divBdr>
        <w:top w:val="none" w:sz="0" w:space="0" w:color="auto"/>
        <w:left w:val="none" w:sz="0" w:space="0" w:color="auto"/>
        <w:bottom w:val="none" w:sz="0" w:space="0" w:color="auto"/>
        <w:right w:val="none" w:sz="0" w:space="0" w:color="auto"/>
      </w:divBdr>
    </w:div>
    <w:div w:id="1843081497">
      <w:bodyDiv w:val="1"/>
      <w:marLeft w:val="0"/>
      <w:marRight w:val="0"/>
      <w:marTop w:val="0"/>
      <w:marBottom w:val="0"/>
      <w:divBdr>
        <w:top w:val="none" w:sz="0" w:space="0" w:color="auto"/>
        <w:left w:val="none" w:sz="0" w:space="0" w:color="auto"/>
        <w:bottom w:val="none" w:sz="0" w:space="0" w:color="auto"/>
        <w:right w:val="none" w:sz="0" w:space="0" w:color="auto"/>
      </w:divBdr>
      <w:divsChild>
        <w:div w:id="1179469521">
          <w:marLeft w:val="547"/>
          <w:marRight w:val="0"/>
          <w:marTop w:val="86"/>
          <w:marBottom w:val="0"/>
          <w:divBdr>
            <w:top w:val="none" w:sz="0" w:space="0" w:color="auto"/>
            <w:left w:val="none" w:sz="0" w:space="0" w:color="auto"/>
            <w:bottom w:val="none" w:sz="0" w:space="0" w:color="auto"/>
            <w:right w:val="none" w:sz="0" w:space="0" w:color="auto"/>
          </w:divBdr>
        </w:div>
        <w:div w:id="1913807269">
          <w:marLeft w:val="1166"/>
          <w:marRight w:val="0"/>
          <w:marTop w:val="77"/>
          <w:marBottom w:val="0"/>
          <w:divBdr>
            <w:top w:val="none" w:sz="0" w:space="0" w:color="auto"/>
            <w:left w:val="none" w:sz="0" w:space="0" w:color="auto"/>
            <w:bottom w:val="none" w:sz="0" w:space="0" w:color="auto"/>
            <w:right w:val="none" w:sz="0" w:space="0" w:color="auto"/>
          </w:divBdr>
        </w:div>
        <w:div w:id="1242905938">
          <w:marLeft w:val="1166"/>
          <w:marRight w:val="0"/>
          <w:marTop w:val="77"/>
          <w:marBottom w:val="0"/>
          <w:divBdr>
            <w:top w:val="none" w:sz="0" w:space="0" w:color="auto"/>
            <w:left w:val="none" w:sz="0" w:space="0" w:color="auto"/>
            <w:bottom w:val="none" w:sz="0" w:space="0" w:color="auto"/>
            <w:right w:val="none" w:sz="0" w:space="0" w:color="auto"/>
          </w:divBdr>
        </w:div>
        <w:div w:id="1561164670">
          <w:marLeft w:val="1800"/>
          <w:marRight w:val="0"/>
          <w:marTop w:val="67"/>
          <w:marBottom w:val="0"/>
          <w:divBdr>
            <w:top w:val="none" w:sz="0" w:space="0" w:color="auto"/>
            <w:left w:val="none" w:sz="0" w:space="0" w:color="auto"/>
            <w:bottom w:val="none" w:sz="0" w:space="0" w:color="auto"/>
            <w:right w:val="none" w:sz="0" w:space="0" w:color="auto"/>
          </w:divBdr>
        </w:div>
        <w:div w:id="1325165957">
          <w:marLeft w:val="1800"/>
          <w:marRight w:val="0"/>
          <w:marTop w:val="67"/>
          <w:marBottom w:val="0"/>
          <w:divBdr>
            <w:top w:val="none" w:sz="0" w:space="0" w:color="auto"/>
            <w:left w:val="none" w:sz="0" w:space="0" w:color="auto"/>
            <w:bottom w:val="none" w:sz="0" w:space="0" w:color="auto"/>
            <w:right w:val="none" w:sz="0" w:space="0" w:color="auto"/>
          </w:divBdr>
        </w:div>
        <w:div w:id="849222320">
          <w:marLeft w:val="547"/>
          <w:marRight w:val="0"/>
          <w:marTop w:val="86"/>
          <w:marBottom w:val="0"/>
          <w:divBdr>
            <w:top w:val="none" w:sz="0" w:space="0" w:color="auto"/>
            <w:left w:val="none" w:sz="0" w:space="0" w:color="auto"/>
            <w:bottom w:val="none" w:sz="0" w:space="0" w:color="auto"/>
            <w:right w:val="none" w:sz="0" w:space="0" w:color="auto"/>
          </w:divBdr>
        </w:div>
        <w:div w:id="1565415063">
          <w:marLeft w:val="1166"/>
          <w:marRight w:val="0"/>
          <w:marTop w:val="77"/>
          <w:marBottom w:val="0"/>
          <w:divBdr>
            <w:top w:val="none" w:sz="0" w:space="0" w:color="auto"/>
            <w:left w:val="none" w:sz="0" w:space="0" w:color="auto"/>
            <w:bottom w:val="none" w:sz="0" w:space="0" w:color="auto"/>
            <w:right w:val="none" w:sz="0" w:space="0" w:color="auto"/>
          </w:divBdr>
        </w:div>
        <w:div w:id="2015957859">
          <w:marLeft w:val="1166"/>
          <w:marRight w:val="0"/>
          <w:marTop w:val="77"/>
          <w:marBottom w:val="0"/>
          <w:divBdr>
            <w:top w:val="none" w:sz="0" w:space="0" w:color="auto"/>
            <w:left w:val="none" w:sz="0" w:space="0" w:color="auto"/>
            <w:bottom w:val="none" w:sz="0" w:space="0" w:color="auto"/>
            <w:right w:val="none" w:sz="0" w:space="0" w:color="auto"/>
          </w:divBdr>
        </w:div>
        <w:div w:id="1236816094">
          <w:marLeft w:val="1166"/>
          <w:marRight w:val="0"/>
          <w:marTop w:val="77"/>
          <w:marBottom w:val="0"/>
          <w:divBdr>
            <w:top w:val="none" w:sz="0" w:space="0" w:color="auto"/>
            <w:left w:val="none" w:sz="0" w:space="0" w:color="auto"/>
            <w:bottom w:val="none" w:sz="0" w:space="0" w:color="auto"/>
            <w:right w:val="none" w:sz="0" w:space="0" w:color="auto"/>
          </w:divBdr>
        </w:div>
      </w:divsChild>
    </w:div>
    <w:div w:id="203033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1648</Words>
  <Characters>9395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On support of NR Uu controlling LTE sidelink</vt:lpstr>
    </vt:vector>
  </TitlesOfParts>
  <Company>Guangdong OPPO Mobile Telecom</Company>
  <LinksUpToDate>false</LinksUpToDate>
  <CharactersWithSpaces>11021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support of NR Uu controlling LTE sidelink</dc:title>
  <dc:subject>NR Uu controlling LTE sidelink</dc:subject>
  <dc:creator>Kevin.Lin@oppo.com</dc:creator>
  <cp:keywords/>
  <dc:description>Final version ready for submission</dc:description>
  <cp:lastModifiedBy>Kevin Lin</cp:lastModifiedBy>
  <cp:revision>5</cp:revision>
  <dcterms:created xsi:type="dcterms:W3CDTF">2019-04-02T09:20:00Z</dcterms:created>
  <dcterms:modified xsi:type="dcterms:W3CDTF">2019-04-02T09:24:00Z</dcterms:modified>
</cp:coreProperties>
</file>